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hint="eastAsia" w:ascii="方正小标宋简体" w:hAnsi="方正小标宋简体" w:eastAsia="方正小标宋简体" w:cs="方正小标宋简体"/>
          <w:bCs/>
          <w:color w:val="auto"/>
          <w:sz w:val="44"/>
          <w:szCs w:val="44"/>
        </w:rPr>
      </w:pPr>
      <w:r>
        <w:rPr>
          <w:rFonts w:hint="eastAsia" w:ascii="方正小标宋简体" w:hAnsi="方正小标宋简体" w:eastAsia="方正小标宋简体" w:cs="方正小标宋简体"/>
          <w:bCs/>
          <w:color w:val="auto"/>
          <w:sz w:val="44"/>
          <w:szCs w:val="44"/>
        </w:rPr>
        <w:t>关</w:t>
      </w:r>
      <w:r>
        <w:rPr>
          <w:rFonts w:hint="eastAsia" w:ascii="方正小标宋简体" w:hAnsi="仿宋" w:eastAsia="方正小标宋简体" w:cs="宋体"/>
          <w:bCs/>
          <w:color w:val="auto"/>
          <w:sz w:val="44"/>
          <w:szCs w:val="44"/>
        </w:rPr>
        <w:t>于</w:t>
      </w:r>
      <w:r>
        <w:rPr>
          <w:rFonts w:hint="eastAsia" w:ascii="方正小标宋简体" w:hAnsi="仿宋" w:eastAsia="方正小标宋简体" w:cs="宋体"/>
          <w:bCs/>
          <w:color w:val="auto"/>
          <w:kern w:val="2"/>
          <w:sz w:val="44"/>
          <w:szCs w:val="44"/>
          <w:lang w:eastAsia="zh-CN"/>
        </w:rPr>
        <w:t>广州市南沙区</w:t>
      </w:r>
      <w:r>
        <w:rPr>
          <w:rFonts w:hint="eastAsia" w:ascii="方正小标宋简体" w:hAnsi="仿宋" w:eastAsia="方正小标宋简体" w:cs="宋体"/>
          <w:bCs/>
          <w:color w:val="auto"/>
          <w:kern w:val="2"/>
          <w:sz w:val="44"/>
          <w:szCs w:val="44"/>
          <w:lang w:val="en-US" w:eastAsia="zh-CN"/>
        </w:rPr>
        <w:t>2023年度第五十二批次城镇建设用地</w:t>
      </w:r>
      <w:r>
        <w:rPr>
          <w:rFonts w:hint="eastAsia" w:ascii="方正小标宋简体" w:hAnsi="仿宋" w:eastAsia="方正小标宋简体" w:cs="宋体"/>
          <w:bCs/>
          <w:color w:val="auto"/>
          <w:sz w:val="44"/>
          <w:szCs w:val="44"/>
        </w:rPr>
        <w:t>项目</w:t>
      </w:r>
      <w:r>
        <w:rPr>
          <w:rFonts w:hint="eastAsia" w:ascii="方正小标宋简体" w:hAnsi="方正小标宋简体" w:eastAsia="方正小标宋简体" w:cs="方正小标宋简体"/>
          <w:bCs/>
          <w:color w:val="auto"/>
          <w:sz w:val="44"/>
          <w:szCs w:val="44"/>
        </w:rPr>
        <w:t>被征地农民养老保障方案</w:t>
      </w:r>
    </w:p>
    <w:p>
      <w:pPr>
        <w:spacing w:line="560" w:lineRule="exact"/>
        <w:jc w:val="center"/>
        <w:rPr>
          <w:rFonts w:ascii="方正小标宋简体" w:hAnsi="仿宋" w:eastAsia="方正小标宋简体" w:cs="宋体"/>
          <w:bCs/>
          <w:color w:val="auto"/>
          <w:sz w:val="44"/>
          <w:szCs w:val="44"/>
        </w:rPr>
      </w:pPr>
      <w:r>
        <w:rPr>
          <w:rFonts w:hint="eastAsia" w:ascii="方正小标宋简体" w:hAnsi="方正小标宋简体" w:eastAsia="方正小标宋简体" w:cs="方正小标宋简体"/>
          <w:bCs/>
          <w:color w:val="auto"/>
          <w:sz w:val="44"/>
          <w:szCs w:val="44"/>
          <w:lang w:eastAsia="zh-CN"/>
        </w:rPr>
        <w:t>（</w:t>
      </w:r>
      <w:r>
        <w:rPr>
          <w:rFonts w:hint="eastAsia" w:ascii="方正小标宋简体" w:hAnsi="仿宋" w:eastAsia="方正小标宋简体" w:cs="宋体"/>
          <w:bCs/>
          <w:color w:val="auto"/>
          <w:sz w:val="44"/>
          <w:szCs w:val="44"/>
          <w:u w:val="none"/>
          <w:lang w:eastAsia="zh-CN"/>
        </w:rPr>
        <w:t>亭角经济联合社）</w:t>
      </w:r>
    </w:p>
    <w:p>
      <w:pPr>
        <w:widowControl/>
        <w:shd w:val="clear" w:color="auto" w:fill="FFFFFF"/>
        <w:spacing w:line="540" w:lineRule="exact"/>
        <w:jc w:val="left"/>
        <w:rPr>
          <w:rFonts w:ascii="仿宋_GB2312" w:hAnsi="仿宋_GB2312" w:cs="仿宋_GB2312"/>
          <w:color w:val="auto"/>
          <w:kern w:val="0"/>
          <w:shd w:val="clear" w:color="auto" w:fill="FFFFFF"/>
          <w:lang w:bidi="ar"/>
        </w:rPr>
      </w:pPr>
    </w:p>
    <w:p>
      <w:pPr>
        <w:keepNext w:val="0"/>
        <w:keepLines w:val="0"/>
        <w:pageBreakBefore w:val="0"/>
        <w:widowControl/>
        <w:shd w:val="clear" w:color="auto" w:fill="FFFFFF"/>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color w:val="auto"/>
          <w:kern w:val="0"/>
          <w:sz w:val="32"/>
          <w:szCs w:val="32"/>
          <w:shd w:val="clear" w:color="auto" w:fill="FFFFFF"/>
          <w:lang w:bidi="ar"/>
        </w:rPr>
      </w:pPr>
      <w:r>
        <w:rPr>
          <w:rFonts w:hint="eastAsia" w:ascii="仿宋_GB2312" w:hAnsi="仿宋_GB2312" w:eastAsia="仿宋_GB2312" w:cs="仿宋_GB2312"/>
          <w:color w:val="auto"/>
          <w:kern w:val="0"/>
          <w:sz w:val="32"/>
          <w:szCs w:val="32"/>
          <w:shd w:val="clear" w:color="auto" w:fill="FFFFFF"/>
          <w:lang w:bidi="ar"/>
        </w:rPr>
        <w:t>依照</w:t>
      </w:r>
      <w:r>
        <w:rPr>
          <w:rFonts w:hint="eastAsia" w:ascii="仿宋_GB2312" w:hAnsi="仿宋_GB2312" w:eastAsia="仿宋_GB2312" w:cs="仿宋_GB2312"/>
          <w:color w:val="auto"/>
          <w:sz w:val="32"/>
          <w:szCs w:val="32"/>
        </w:rPr>
        <w:t>《中华人民共和国土地管理法》、</w:t>
      </w:r>
      <w:r>
        <w:rPr>
          <w:rFonts w:hint="eastAsia" w:ascii="仿宋_GB2312" w:hAnsi="仿宋_GB2312" w:eastAsia="仿宋_GB2312" w:cs="仿宋_GB2312"/>
          <w:color w:val="auto"/>
          <w:kern w:val="0"/>
          <w:sz w:val="32"/>
          <w:szCs w:val="32"/>
          <w:shd w:val="clear" w:color="auto" w:fill="FFFFFF"/>
          <w:lang w:bidi="ar"/>
        </w:rPr>
        <w:t>《关于切实做好被征地农民社会保障工作有关问题的通知》（劳社部发〔2007〕</w:t>
      </w:r>
      <w:r>
        <w:rPr>
          <w:rFonts w:hint="eastAsia" w:ascii="Times New Roman" w:hAnsi="Times New Roman" w:eastAsia="仿宋_GB2312" w:cs="Times New Roman"/>
          <w:color w:val="auto"/>
          <w:kern w:val="2"/>
          <w:sz w:val="32"/>
          <w:szCs w:val="48"/>
          <w:lang w:val="en-US" w:eastAsia="zh-CN" w:bidi="ar-SA"/>
        </w:rPr>
        <w:t>14号，下称劳社部发〔2007〕14号）、《广东省人民政府办公厅转发省人力资源社会保障厅关于进一步完善我省被征地农民养老保障政策意见的通知》（粤府办〔2021〕22号）和《广州市人民政府办公厅转发关于进一步完善我省被征地农民养老保障政策意见的通知》（穗府办规〔2022〕3号）等有关规定，拟定广州市南沙区2023年度第五十二批次城镇建设用地项目被征地农民养老保障方案如下：</w:t>
      </w:r>
    </w:p>
    <w:p>
      <w:pPr>
        <w:keepNext w:val="0"/>
        <w:keepLines w:val="0"/>
        <w:pageBreakBefore w:val="0"/>
        <w:widowControl/>
        <w:shd w:val="clear" w:color="auto" w:fill="FFFFFF"/>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b w:val="0"/>
          <w:bCs/>
          <w:color w:val="auto"/>
          <w:kern w:val="0"/>
          <w:sz w:val="32"/>
          <w:szCs w:val="32"/>
          <w:shd w:val="clear" w:color="auto" w:fill="FFFFFF"/>
          <w:lang w:bidi="ar"/>
        </w:rPr>
      </w:pPr>
      <w:r>
        <w:rPr>
          <w:rFonts w:hint="eastAsia" w:ascii="仿宋_GB2312" w:hAnsi="仿宋_GB2312" w:eastAsia="仿宋_GB2312" w:cs="仿宋_GB2312"/>
          <w:b w:val="0"/>
          <w:bCs/>
          <w:color w:val="auto"/>
          <w:kern w:val="0"/>
          <w:sz w:val="32"/>
          <w:szCs w:val="32"/>
          <w:shd w:val="clear" w:color="auto" w:fill="FFFFFF"/>
          <w:lang w:bidi="ar"/>
        </w:rPr>
        <w:t>一、</w:t>
      </w:r>
      <w:r>
        <w:rPr>
          <w:rFonts w:hint="eastAsia" w:ascii="仿宋_GB2312" w:hAnsi="仿宋_GB2312" w:eastAsia="仿宋_GB2312" w:cs="仿宋_GB2312"/>
          <w:b w:val="0"/>
          <w:bCs/>
          <w:color w:val="auto"/>
          <w:kern w:val="0"/>
          <w:sz w:val="32"/>
          <w:szCs w:val="32"/>
        </w:rPr>
        <w:t>对广州市南沙区2023年度第五十二批次城镇建设用地项目项目涉及的亭角经济联合社被征地农民实施社会养老保障。</w:t>
      </w:r>
    </w:p>
    <w:p>
      <w:pPr>
        <w:keepNext w:val="0"/>
        <w:keepLines w:val="0"/>
        <w:pageBreakBefore w:val="0"/>
        <w:kinsoku/>
        <w:wordWrap/>
        <w:overflowPunct/>
        <w:topLinePunct w:val="0"/>
        <w:autoSpaceDE/>
        <w:autoSpaceDN/>
        <w:bidi w:val="0"/>
        <w:adjustRightInd/>
        <w:snapToGrid/>
        <w:spacing w:line="520" w:lineRule="exact"/>
        <w:ind w:right="-14"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Cs/>
          <w:color w:val="auto"/>
          <w:kern w:val="0"/>
          <w:sz w:val="32"/>
          <w:szCs w:val="32"/>
          <w:shd w:val="clear" w:color="auto" w:fill="FFFFFF"/>
          <w:lang w:bidi="ar"/>
        </w:rPr>
        <w:t>二、征地社保费筹集</w:t>
      </w:r>
      <w:r>
        <w:rPr>
          <w:rFonts w:hint="eastAsia" w:ascii="仿宋_GB2312" w:hAnsi="仿宋_GB2312" w:eastAsia="仿宋_GB2312" w:cs="仿宋_GB2312"/>
          <w:bCs/>
          <w:color w:val="auto"/>
          <w:kern w:val="0"/>
          <w:sz w:val="32"/>
          <w:szCs w:val="32"/>
          <w:shd w:val="clear" w:color="auto" w:fill="FFFFFF"/>
          <w:lang w:eastAsia="zh-CN" w:bidi="ar"/>
        </w:rPr>
        <w:t>。</w:t>
      </w:r>
      <w:r>
        <w:rPr>
          <w:rFonts w:hint="eastAsia" w:ascii="仿宋_GB2312" w:hAnsi="仿宋_GB2312" w:eastAsia="仿宋_GB2312" w:cs="仿宋_GB2312"/>
          <w:color w:val="auto"/>
          <w:sz w:val="32"/>
          <w:szCs w:val="32"/>
        </w:rPr>
        <w:t>依据</w:t>
      </w:r>
      <w:r>
        <w:rPr>
          <w:rFonts w:hint="eastAsia" w:ascii="仿宋_GB2312" w:hAnsi="仿宋_GB2312" w:eastAsia="仿宋_GB2312" w:cs="仿宋_GB2312"/>
          <w:color w:val="auto"/>
          <w:sz w:val="32"/>
          <w:szCs w:val="32"/>
          <w:lang w:eastAsia="zh-CN"/>
        </w:rPr>
        <w:t>广州市南沙新区明珠湾开发建设管理局</w:t>
      </w:r>
      <w:r>
        <w:rPr>
          <w:rFonts w:hint="eastAsia" w:ascii="仿宋_GB2312" w:hAnsi="仿宋_GB2312" w:eastAsia="仿宋_GB2312" w:cs="仿宋_GB2312"/>
          <w:color w:val="auto"/>
          <w:sz w:val="32"/>
          <w:szCs w:val="32"/>
        </w:rPr>
        <w:t>提供情况，</w:t>
      </w:r>
      <w:r>
        <w:rPr>
          <w:rFonts w:hint="eastAsia" w:ascii="仿宋_GB2312" w:hAnsi="仿宋_GB2312" w:eastAsia="仿宋_GB2312" w:cs="仿宋_GB2312"/>
          <w:color w:val="auto"/>
          <w:kern w:val="2"/>
          <w:sz w:val="32"/>
          <w:szCs w:val="32"/>
          <w:shd w:val="clear" w:color="auto" w:fill="auto"/>
          <w:lang w:bidi="ar-SA"/>
        </w:rPr>
        <w:t>该项目</w:t>
      </w:r>
      <w:r>
        <w:rPr>
          <w:rFonts w:hint="eastAsia" w:ascii="仿宋_GB2312" w:hAnsi="仿宋_GB2312" w:eastAsia="仿宋_GB2312" w:cs="仿宋_GB2312"/>
          <w:color w:val="auto"/>
          <w:kern w:val="2"/>
          <w:sz w:val="32"/>
          <w:szCs w:val="32"/>
        </w:rPr>
        <w:t>征收我区</w:t>
      </w:r>
      <w:r>
        <w:rPr>
          <w:rFonts w:hint="eastAsia" w:ascii="仿宋_GB2312" w:hAnsi="仿宋_GB2312" w:eastAsia="仿宋_GB2312" w:cs="仿宋_GB2312"/>
          <w:color w:val="auto"/>
          <w:kern w:val="2"/>
          <w:sz w:val="32"/>
          <w:szCs w:val="32"/>
          <w:lang w:eastAsia="zh-CN"/>
        </w:rPr>
        <w:t>黄阁</w:t>
      </w:r>
      <w:r>
        <w:rPr>
          <w:rFonts w:hint="eastAsia" w:ascii="仿宋_GB2312" w:hAnsi="仿宋_GB2312" w:eastAsia="仿宋_GB2312" w:cs="仿宋_GB2312"/>
          <w:color w:val="auto"/>
          <w:kern w:val="2"/>
          <w:sz w:val="32"/>
          <w:szCs w:val="32"/>
        </w:rPr>
        <w:t>镇</w:t>
      </w:r>
      <w:r>
        <w:rPr>
          <w:rFonts w:hint="eastAsia" w:ascii="仿宋_GB2312" w:hAnsi="仿宋_GB2312" w:eastAsia="仿宋_GB2312" w:cs="仿宋_GB2312"/>
          <w:color w:val="auto"/>
          <w:kern w:val="2"/>
          <w:sz w:val="32"/>
          <w:szCs w:val="32"/>
          <w:lang w:eastAsia="zh-CN"/>
        </w:rPr>
        <w:t>亭角经济联合社集体土地面积</w:t>
      </w:r>
      <w:r>
        <w:rPr>
          <w:rFonts w:hint="eastAsia" w:ascii="仿宋_GB2312" w:hAnsi="仿宋_GB2312" w:eastAsia="仿宋_GB2312" w:cs="仿宋_GB2312"/>
          <w:color w:val="auto"/>
          <w:sz w:val="32"/>
          <w:szCs w:val="32"/>
        </w:rPr>
        <w:t>共</w:t>
      </w:r>
      <w:r>
        <w:rPr>
          <w:rFonts w:hint="eastAsia" w:ascii="仿宋_GB2312" w:hAnsi="仿宋_GB2312" w:eastAsia="仿宋_GB2312" w:cs="仿宋_GB2312"/>
          <w:color w:val="auto"/>
          <w:sz w:val="32"/>
          <w:szCs w:val="32"/>
          <w:lang w:val="en-US" w:eastAsia="zh-CN"/>
        </w:rPr>
        <w:t>21.999</w:t>
      </w:r>
      <w:r>
        <w:rPr>
          <w:rFonts w:hint="eastAsia" w:ascii="仿宋_GB2312" w:hAnsi="仿宋_GB2312" w:eastAsia="仿宋_GB2312" w:cs="仿宋_GB2312"/>
          <w:color w:val="auto"/>
          <w:sz w:val="32"/>
          <w:szCs w:val="32"/>
        </w:rPr>
        <w:t>亩</w:t>
      </w:r>
      <w:r>
        <w:rPr>
          <w:rFonts w:hint="eastAsia" w:ascii="仿宋_GB2312" w:hAnsi="仿宋_GB2312" w:eastAsia="仿宋_GB2312" w:cs="仿宋_GB2312"/>
          <w:color w:val="auto"/>
          <w:kern w:val="2"/>
          <w:sz w:val="32"/>
          <w:szCs w:val="32"/>
          <w:shd w:val="clear" w:color="auto" w:fill="auto"/>
          <w:lang w:bidi="ar-SA"/>
        </w:rPr>
        <w:t>，其中</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kern w:val="2"/>
          <w:sz w:val="32"/>
          <w:szCs w:val="32"/>
          <w:shd w:val="clear" w:color="auto" w:fill="auto"/>
          <w:lang w:bidi="ar-SA"/>
        </w:rPr>
        <w:t>亩属于农村集体经济组织留用地</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目前征地双方尚</w:t>
      </w:r>
      <w:r>
        <w:rPr>
          <w:rFonts w:hint="eastAsia" w:ascii="仿宋_GB2312" w:hAnsi="仿宋_GB2312" w:eastAsia="仿宋_GB2312" w:cs="仿宋_GB2312"/>
          <w:color w:val="auto"/>
          <w:sz w:val="32"/>
          <w:szCs w:val="32"/>
          <w:highlight w:val="none"/>
        </w:rPr>
        <w:t>未完成征地补偿安置协议签订。</w:t>
      </w:r>
      <w:r>
        <w:rPr>
          <w:rFonts w:hint="eastAsia" w:ascii="仿宋_GB2312" w:hAnsi="仿宋_GB2312" w:eastAsia="仿宋_GB2312" w:cs="仿宋_GB2312"/>
          <w:color w:val="auto"/>
          <w:sz w:val="32"/>
          <w:szCs w:val="32"/>
          <w:highlight w:val="none"/>
          <w:lang w:eastAsia="zh-CN"/>
        </w:rPr>
        <w:t>我区</w:t>
      </w:r>
      <w:r>
        <w:rPr>
          <w:rFonts w:hint="eastAsia" w:ascii="仿宋_GB2312" w:hAnsi="仿宋_GB2312" w:eastAsia="仿宋_GB2312" w:cs="仿宋_GB2312"/>
          <w:color w:val="auto"/>
          <w:kern w:val="0"/>
          <w:sz w:val="32"/>
          <w:szCs w:val="32"/>
          <w:shd w:val="clear" w:color="auto" w:fill="FFFFFF"/>
          <w:lang w:val="en-US" w:eastAsia="zh-CN"/>
        </w:rPr>
        <w:t>每亩平均征收农用地综合区</w:t>
      </w:r>
      <w:r>
        <w:rPr>
          <w:rFonts w:hint="eastAsia" w:ascii="仿宋_GB2312" w:hAnsi="仿宋_GB2312" w:eastAsia="仿宋_GB2312" w:cs="仿宋_GB2312"/>
          <w:color w:val="auto"/>
          <w:kern w:val="2"/>
          <w:sz w:val="32"/>
          <w:szCs w:val="32"/>
          <w:lang w:val="en-US" w:eastAsia="zh-CN" w:bidi="ar-SA"/>
        </w:rPr>
        <w:t>片地价26.3万元／亩，征地社保费计提标准为2.90万元/亩（按26.3万元／亩的11%计算），该项目涉及亭角经济联合社需计提征地社保费为63.80万元，被征收土地属于农村集体经济组织留用地的，按规定不计提征地社保费。需计提资金共63.80万元由征地主体（用地单位）一次性预存入我区人力资源</w:t>
      </w:r>
      <w:r>
        <w:rPr>
          <w:rFonts w:hint="eastAsia" w:ascii="仿宋_GB2312" w:hAnsi="仿宋_GB2312" w:eastAsia="仿宋_GB2312" w:cs="仿宋_GB2312"/>
          <w:color w:val="auto"/>
          <w:sz w:val="32"/>
          <w:szCs w:val="32"/>
        </w:rPr>
        <w:t>社会保障部门开设的“收缴被征地农民养老保障资金过渡户”，计入征地成本，纳入工程项目概算。</w:t>
      </w:r>
    </w:p>
    <w:p>
      <w:pPr>
        <w:keepNext w:val="0"/>
        <w:keepLines w:val="0"/>
        <w:pageBreakBefore w:val="0"/>
        <w:numPr>
          <w:numId w:val="0"/>
        </w:numPr>
        <w:kinsoku/>
        <w:wordWrap/>
        <w:overflowPunct/>
        <w:topLinePunct w:val="0"/>
        <w:autoSpaceDE/>
        <w:autoSpaceDN/>
        <w:bidi w:val="0"/>
        <w:adjustRightInd/>
        <w:snapToGrid/>
        <w:spacing w:line="520" w:lineRule="exact"/>
        <w:ind w:right="-14" w:rightChars="0"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bCs/>
          <w:color w:val="auto"/>
          <w:kern w:val="0"/>
          <w:sz w:val="32"/>
          <w:szCs w:val="32"/>
          <w:shd w:val="clear" w:color="auto" w:fill="FFFFFF"/>
          <w:lang w:bidi="ar"/>
        </w:rPr>
        <w:t>征地社保费补贴对象</w:t>
      </w:r>
      <w:r>
        <w:rPr>
          <w:rFonts w:hint="eastAsia" w:ascii="仿宋_GB2312" w:hAnsi="仿宋_GB2312" w:eastAsia="仿宋_GB2312" w:cs="仿宋_GB2312"/>
          <w:bCs/>
          <w:color w:val="auto"/>
          <w:kern w:val="0"/>
          <w:sz w:val="32"/>
          <w:szCs w:val="32"/>
          <w:shd w:val="clear" w:color="auto" w:fill="FFFFFF"/>
          <w:lang w:eastAsia="zh-CN" w:bidi="ar"/>
        </w:rPr>
        <w:t>。</w:t>
      </w:r>
      <w:r>
        <w:rPr>
          <w:rFonts w:hint="eastAsia" w:ascii="仿宋_GB2312" w:hAnsi="仿宋_GB2312" w:eastAsia="仿宋_GB2312" w:cs="仿宋_GB2312"/>
          <w:color w:val="auto"/>
          <w:sz w:val="32"/>
          <w:szCs w:val="32"/>
        </w:rPr>
        <w:t>按“筹集资金分配到户，户内平均分配到人”的基本原则确定征地社保补贴对象。享有农村集体土地承包权的农户，其家庭承包的土地被政府依法统一征收，征收安置补偿方案制定时属于农村集体经济组织成员且</w:t>
      </w:r>
      <w:r>
        <w:rPr>
          <w:rFonts w:hint="eastAsia" w:ascii="仿宋_GB2312" w:hAnsi="仿宋_GB2312" w:eastAsia="仿宋_GB2312" w:cs="仿宋_GB2312"/>
          <w:color w:val="auto"/>
          <w:kern w:val="2"/>
          <w:sz w:val="32"/>
          <w:szCs w:val="32"/>
          <w:lang w:val="en-US" w:eastAsia="zh-CN" w:bidi="ar-SA"/>
        </w:rPr>
        <w:t>年满16周岁以上的家庭成员，纳入征地社保补贴对象范围。农村集体经济组织另有规定的（如实行土地股份制经济或者集体统一经营土地等情况），可从其规定。</w:t>
      </w:r>
      <w:bookmarkStart w:id="0" w:name="_GoBack"/>
      <w:bookmarkEnd w:id="0"/>
    </w:p>
    <w:p>
      <w:pPr>
        <w:keepNext w:val="0"/>
        <w:keepLines w:val="0"/>
        <w:pageBreakBefore w:val="0"/>
        <w:numPr>
          <w:numId w:val="0"/>
        </w:numPr>
        <w:kinsoku/>
        <w:wordWrap/>
        <w:overflowPunct/>
        <w:topLinePunct w:val="0"/>
        <w:autoSpaceDE/>
        <w:autoSpaceDN/>
        <w:bidi w:val="0"/>
        <w:adjustRightInd/>
        <w:snapToGrid/>
        <w:spacing w:line="520" w:lineRule="exact"/>
        <w:ind w:leftChars="200" w:right="-14" w:rightChars="0" w:firstLine="640" w:firstLineChars="200"/>
        <w:textAlignment w:val="auto"/>
        <w:rPr>
          <w:rFonts w:hint="eastAsia" w:ascii="仿宋_GB2312" w:hAnsi="仿宋_GB2312" w:eastAsia="仿宋_GB2312" w:cs="仿宋_GB2312"/>
          <w:b w:val="0"/>
          <w:bCs/>
          <w:color w:val="auto"/>
          <w:sz w:val="32"/>
          <w:szCs w:val="32"/>
        </w:rPr>
      </w:pPr>
      <w:r>
        <w:rPr>
          <w:rFonts w:hint="eastAsia" w:ascii="仿宋_GB2312" w:hAnsi="仿宋_GB2312" w:eastAsia="仿宋_GB2312" w:cs="仿宋_GB2312"/>
          <w:color w:val="auto"/>
          <w:kern w:val="2"/>
          <w:sz w:val="32"/>
          <w:szCs w:val="32"/>
          <w:lang w:val="en-US" w:eastAsia="zh-CN" w:bidi="ar-SA"/>
        </w:rPr>
        <w:t>征地社保费发放。一是征地社保费与征地安置补偿费同期拨付。征地实施部门在拟发放征地安置补助费时，应告知同级人力资源社会保障部门和征地项目所在镇人民政府（街道办事处）。镇人民政府（街道办事处）牵头组织被征地农户在15个工作日内按时提供具体参保人员名单和分配金额。被征地农户未按时提供的，由镇人民政府（街道办事处）按被征地农户的16周岁以上人口平均分配资金原则确定参保人员名单和分配金额，送人社部门办理社保手续。二是符合条件的被征地农民按规定享受征地社保补贴，一次性划入其城乡居民养老保险个人账户，不计算实际</w:t>
      </w:r>
      <w:r>
        <w:rPr>
          <w:rFonts w:hint="eastAsia" w:ascii="仿宋_GB2312" w:hAnsi="仿宋_GB2312" w:eastAsia="仿宋_GB2312" w:cs="仿宋_GB2312"/>
          <w:b w:val="0"/>
          <w:bCs/>
          <w:color w:val="auto"/>
          <w:sz w:val="32"/>
          <w:szCs w:val="32"/>
        </w:rPr>
        <w:t>缴费年限；其中已领取城镇职工基本养老金的，一次性支付个人。</w:t>
      </w:r>
    </w:p>
    <w:p>
      <w:pPr>
        <w:tabs>
          <w:tab w:val="left" w:pos="5402"/>
        </w:tabs>
        <w:ind w:firstLine="640" w:firstLineChars="200"/>
        <w:rPr>
          <w:rFonts w:hint="eastAsia" w:ascii="仿宋_GB2312" w:hAnsi="仿宋_GB2312" w:eastAsia="仿宋_GB2312" w:cs="仿宋_GB2312"/>
          <w:b w:val="0"/>
          <w:bCs/>
          <w:color w:val="auto"/>
          <w:sz w:val="32"/>
          <w:szCs w:val="32"/>
        </w:rPr>
      </w:pPr>
    </w:p>
    <w:p>
      <w:pPr>
        <w:spacing w:line="600" w:lineRule="exact"/>
        <w:ind w:right="210" w:firstLine="640" w:firstLineChars="200"/>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附</w:t>
      </w:r>
      <w:r>
        <w:rPr>
          <w:rFonts w:hint="eastAsia" w:ascii="仿宋_GB2312" w:hAnsi="仿宋_GB2312" w:eastAsia="仿宋_GB2312" w:cs="仿宋_GB2312"/>
          <w:color w:val="auto"/>
          <w:sz w:val="32"/>
          <w:szCs w:val="32"/>
          <w:lang w:eastAsia="zh-CN"/>
        </w:rPr>
        <w:t>件</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征收土地及养老保障情况表</w:t>
      </w:r>
    </w:p>
    <w:p>
      <w:pPr>
        <w:pStyle w:val="2"/>
        <w:ind w:firstLine="1600" w:firstLineChars="5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pacing w:val="-20"/>
          <w:kern w:val="0"/>
          <w:sz w:val="32"/>
          <w:szCs w:val="32"/>
          <w:shd w:val="clear" w:color="auto" w:fill="FFFFFF"/>
          <w:lang w:bidi="ar"/>
        </w:rPr>
        <w:t>被征地农户16周岁以上人口名单</w:t>
      </w:r>
    </w:p>
    <w:p>
      <w:pPr>
        <w:tabs>
          <w:tab w:val="left" w:pos="5402"/>
        </w:tabs>
        <w:ind w:firstLine="640" w:firstLineChars="200"/>
        <w:rPr>
          <w:rFonts w:hint="eastAsia" w:ascii="仿宋_GB2312" w:hAnsi="仿宋_GB2312" w:eastAsia="仿宋_GB2312" w:cs="仿宋_GB2312"/>
          <w:color w:val="auto"/>
          <w:sz w:val="32"/>
          <w:szCs w:val="32"/>
        </w:rPr>
      </w:pPr>
    </w:p>
    <w:p>
      <w:pPr>
        <w:tabs>
          <w:tab w:val="left" w:pos="5402"/>
        </w:tabs>
        <w:ind w:firstLine="640" w:firstLineChars="200"/>
        <w:rPr>
          <w:rFonts w:hint="eastAsia" w:ascii="仿宋_GB2312" w:hAnsi="仿宋_GB2312" w:eastAsia="仿宋_GB2312" w:cs="仿宋_GB2312"/>
          <w:color w:val="auto"/>
          <w:sz w:val="32"/>
          <w:szCs w:val="32"/>
        </w:rPr>
      </w:pPr>
    </w:p>
    <w:p>
      <w:pPr>
        <w:widowControl/>
        <w:shd w:val="clear" w:color="auto" w:fill="FFFFFF"/>
        <w:spacing w:before="289" w:beforeLines="50"/>
        <w:ind w:firstLine="3200" w:firstLineChars="1000"/>
        <w:jc w:val="left"/>
        <w:rPr>
          <w:rFonts w:hint="eastAsia" w:ascii="仿宋_GB2312" w:hAnsi="仿宋_GB2312" w:eastAsia="仿宋_GB2312" w:cs="仿宋_GB2312"/>
          <w:color w:val="auto"/>
          <w:kern w:val="0"/>
          <w:sz w:val="32"/>
          <w:szCs w:val="32"/>
          <w:shd w:val="clear" w:color="auto" w:fill="FFFFFF"/>
          <w:lang w:bidi="ar"/>
        </w:rPr>
      </w:pPr>
      <w:r>
        <w:rPr>
          <w:rFonts w:hint="eastAsia" w:ascii="仿宋_GB2312" w:hAnsi="仿宋_GB2312" w:eastAsia="仿宋_GB2312" w:cs="仿宋_GB2312"/>
          <w:color w:val="auto"/>
          <w:sz w:val="32"/>
          <w:szCs w:val="32"/>
          <w:lang w:eastAsia="zh-CN"/>
        </w:rPr>
        <w:t>广州市南沙区黄阁镇</w:t>
      </w:r>
      <w:r>
        <w:rPr>
          <w:rFonts w:hint="eastAsia" w:ascii="仿宋_GB2312" w:hAnsi="仿宋_GB2312" w:eastAsia="仿宋_GB2312" w:cs="仿宋_GB2312"/>
          <w:color w:val="auto"/>
          <w:sz w:val="32"/>
          <w:szCs w:val="32"/>
        </w:rPr>
        <w:t>人民政府</w:t>
      </w:r>
    </w:p>
    <w:p>
      <w:pPr>
        <w:widowControl/>
        <w:shd w:val="clear" w:color="auto" w:fill="FFFFFF"/>
        <w:ind w:firstLine="3814" w:firstLineChars="1192"/>
        <w:jc w:val="left"/>
        <w:rPr>
          <w:color w:val="auto"/>
        </w:rPr>
      </w:pPr>
      <w:r>
        <w:rPr>
          <w:rFonts w:hint="eastAsia" w:ascii="仿宋_GB2312" w:hAnsi="仿宋_GB2312" w:eastAsia="仿宋_GB2312" w:cs="仿宋_GB2312"/>
          <w:color w:val="auto"/>
          <w:kern w:val="0"/>
          <w:sz w:val="32"/>
          <w:szCs w:val="32"/>
          <w:shd w:val="clear" w:color="auto" w:fill="FFFFFF"/>
          <w:lang w:bidi="ar"/>
        </w:rPr>
        <w:t xml:space="preserve"> </w:t>
      </w:r>
      <w:r>
        <w:rPr>
          <w:rFonts w:hint="eastAsia" w:ascii="仿宋_GB2312" w:hAnsi="仿宋_GB2312" w:eastAsia="仿宋_GB2312" w:cs="仿宋_GB2312"/>
          <w:color w:val="auto"/>
          <w:kern w:val="0"/>
          <w:sz w:val="32"/>
          <w:szCs w:val="32"/>
          <w:shd w:val="clear" w:color="auto" w:fill="FFFFFF"/>
          <w:lang w:val="en-US" w:eastAsia="zh-CN" w:bidi="ar"/>
        </w:rPr>
        <w:t>2023</w:t>
      </w:r>
      <w:r>
        <w:rPr>
          <w:rFonts w:hint="eastAsia" w:ascii="仿宋_GB2312" w:hAnsi="仿宋_GB2312" w:eastAsia="仿宋_GB2312" w:cs="仿宋_GB2312"/>
          <w:color w:val="auto"/>
          <w:kern w:val="0"/>
          <w:sz w:val="32"/>
          <w:szCs w:val="32"/>
          <w:shd w:val="clear" w:color="auto" w:fill="FFFFFF"/>
          <w:lang w:bidi="ar"/>
        </w:rPr>
        <w:t>年</w:t>
      </w:r>
      <w:r>
        <w:rPr>
          <w:rFonts w:hint="eastAsia" w:ascii="仿宋_GB2312" w:hAnsi="仿宋_GB2312" w:eastAsia="仿宋_GB2312" w:cs="仿宋_GB2312"/>
          <w:color w:val="auto"/>
          <w:kern w:val="0"/>
          <w:sz w:val="32"/>
          <w:szCs w:val="32"/>
          <w:shd w:val="clear" w:color="auto" w:fill="FFFFFF"/>
          <w:lang w:val="en-US" w:eastAsia="zh-CN" w:bidi="ar"/>
        </w:rPr>
        <w:t>8</w:t>
      </w:r>
      <w:r>
        <w:rPr>
          <w:rFonts w:hint="eastAsia" w:ascii="仿宋_GB2312" w:hAnsi="仿宋_GB2312" w:eastAsia="仿宋_GB2312" w:cs="仿宋_GB2312"/>
          <w:color w:val="auto"/>
          <w:kern w:val="0"/>
          <w:sz w:val="32"/>
          <w:szCs w:val="32"/>
          <w:shd w:val="clear" w:color="auto" w:fill="FFFFFF"/>
          <w:lang w:bidi="ar"/>
        </w:rPr>
        <w:t>月</w:t>
      </w:r>
      <w:r>
        <w:rPr>
          <w:rFonts w:hint="eastAsia" w:ascii="仿宋_GB2312" w:hAnsi="仿宋_GB2312" w:eastAsia="仿宋_GB2312" w:cs="仿宋_GB2312"/>
          <w:color w:val="auto"/>
          <w:kern w:val="0"/>
          <w:sz w:val="32"/>
          <w:szCs w:val="32"/>
          <w:shd w:val="clear" w:color="auto" w:fill="FFFFFF"/>
          <w:lang w:val="en-US" w:eastAsia="zh-CN" w:bidi="ar"/>
        </w:rPr>
        <w:t>30</w:t>
      </w:r>
      <w:r>
        <w:rPr>
          <w:rFonts w:hint="eastAsia" w:ascii="仿宋_GB2312" w:hAnsi="仿宋_GB2312" w:eastAsia="仿宋_GB2312" w:cs="仿宋_GB2312"/>
          <w:color w:val="auto"/>
          <w:kern w:val="0"/>
          <w:sz w:val="32"/>
          <w:szCs w:val="32"/>
          <w:shd w:val="clear" w:color="auto" w:fill="FFFFFF"/>
          <w:lang w:bidi="ar"/>
        </w:rPr>
        <w:t>日</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7657EF0"/>
    <w:rsid w:val="04961370"/>
    <w:rsid w:val="07657EF0"/>
    <w:rsid w:val="161A4E07"/>
    <w:rsid w:val="28D83F1C"/>
    <w:rsid w:val="371E42DC"/>
    <w:rsid w:val="3BF621E5"/>
    <w:rsid w:val="405861A1"/>
    <w:rsid w:val="4AE37E4D"/>
    <w:rsid w:val="6A367A89"/>
    <w:rsid w:val="7CDA66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Normal Indent"/>
    <w:basedOn w:val="1"/>
    <w:unhideWhenUsed/>
    <w:qFormat/>
    <w:uiPriority w:val="99"/>
    <w:pPr>
      <w:widowControl w:val="0"/>
      <w:ind w:firstLine="420" w:firstLineChars="200"/>
    </w:pPr>
    <w:rPr>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Office_10.8.2.6990_F1E327BC-269C-435d-A152-05C5408002CA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2023-07-18T08:32:00Z</dcterms:created>
  <dc:creator>Administrator</dc:creator>
  <cp:lastModifiedBy>张小柔</cp:lastModifiedBy>
  <dcterms:modified xsi:type="dcterms:W3CDTF">2023-10-16T02:43:54Z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2052-10.8.2.6990</vt:lpwstr>
  </property>
  <property fmtid="{D5CDD505-2E9C-101B-9397-08002B2CF9AE}" pid="3" name="ICV">
    <vt:lpwstr>4A051173A82F404DB94D2580D437FBE4</vt:lpwstr>
  </property>
</Properties>
</file>