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676"/>
        <w:gridCol w:w="558"/>
        <w:gridCol w:w="1712"/>
        <w:gridCol w:w="1298"/>
        <w:gridCol w:w="1487"/>
        <w:gridCol w:w="297"/>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9638" w:type="dxa"/>
            <w:gridSpan w:val="8"/>
            <w:vAlign w:val="center"/>
          </w:tcPr>
          <w:p>
            <w:pPr>
              <w:keepNext/>
              <w:keepLines/>
              <w:pageBreakBefore w:val="0"/>
              <w:widowControl w:val="0"/>
              <w:kinsoku/>
              <w:wordWrap/>
              <w:overflowPunct/>
              <w:topLinePunct w:val="0"/>
              <w:autoSpaceDE/>
              <w:autoSpaceDN/>
              <w:bidi w:val="0"/>
              <w:adjustRightInd/>
              <w:snapToGrid/>
              <w:spacing w:before="0" w:beforeLines="0" w:after="0" w:afterLines="0" w:line="480" w:lineRule="exact"/>
              <w:ind w:firstLine="0" w:firstLineChars="0"/>
              <w:jc w:val="center"/>
              <w:textAlignment w:val="auto"/>
              <w:outlineLvl w:val="0"/>
              <w:rPr>
                <w:rFonts w:hint="eastAsia" w:ascii="Times New Roman" w:hAnsi="Times New Roman" w:eastAsia="宋体" w:cs="Times New Roman"/>
                <w:b/>
                <w:bCs/>
                <w:color w:val="auto"/>
                <w:kern w:val="44"/>
                <w:sz w:val="44"/>
                <w:szCs w:val="44"/>
                <w:lang w:val="en-US" w:eastAsia="zh-CN" w:bidi="ar-SA"/>
              </w:rPr>
            </w:pPr>
            <w:bookmarkStart w:id="0" w:name="_GoBack"/>
            <w:r>
              <w:rPr>
                <w:rFonts w:hint="eastAsia" w:ascii="Times New Roman" w:hAnsi="Times New Roman" w:eastAsia="宋体" w:cs="Times New Roman"/>
                <w:b/>
                <w:bCs/>
                <w:color w:val="auto"/>
                <w:kern w:val="44"/>
                <w:sz w:val="44"/>
                <w:szCs w:val="44"/>
                <w:lang w:val="en-US" w:eastAsia="zh-CN" w:bidi="ar-SA"/>
              </w:rPr>
              <w:t xml:space="preserve"> 广州市南沙区珠江街珠江工业园番中公路与灵新大道交界东侧地块用地规划条件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gridSpan w:val="2"/>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eastAsia="zh-CN"/>
              </w:rPr>
            </w:pPr>
            <w:r>
              <w:rPr>
                <w:rFonts w:hint="eastAsia" w:ascii="仿宋" w:hAnsi="仿宋" w:eastAsia="仿宋" w:cs="仿宋"/>
                <w:b w:val="0"/>
                <w:bCs w:val="0"/>
                <w:color w:val="auto"/>
                <w:sz w:val="28"/>
                <w:szCs w:val="28"/>
                <w:vertAlign w:val="baseline"/>
                <w:lang w:eastAsia="zh-CN"/>
              </w:rPr>
              <w:t>用地</w:t>
            </w:r>
            <w:r>
              <w:rPr>
                <w:rFonts w:hint="eastAsia" w:ascii="仿宋" w:hAnsi="仿宋" w:eastAsia="仿宋" w:cs="仿宋"/>
                <w:b w:val="0"/>
                <w:bCs w:val="0"/>
                <w:color w:val="auto"/>
                <w:sz w:val="28"/>
                <w:szCs w:val="28"/>
              </w:rPr>
              <w:t>位置</w:t>
            </w:r>
          </w:p>
        </w:tc>
        <w:tc>
          <w:tcPr>
            <w:tcW w:w="7579" w:type="dxa"/>
            <w:gridSpan w:val="6"/>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广州市南沙区珠江街珠江工业园番中公路与灵新大道交界东侧（详见建设用地规划红线图）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gridSpan w:val="2"/>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地形图号</w:t>
            </w:r>
          </w:p>
        </w:tc>
        <w:tc>
          <w:tcPr>
            <w:tcW w:w="7579" w:type="dxa"/>
            <w:gridSpan w:val="6"/>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184-62-19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gridSpan w:val="2"/>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用地类型</w:t>
            </w:r>
          </w:p>
        </w:tc>
        <w:tc>
          <w:tcPr>
            <w:tcW w:w="7579" w:type="dxa"/>
            <w:gridSpan w:val="6"/>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lang w:eastAsia="zh-CN"/>
              </w:rPr>
              <w:t>政府储备用地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38" w:type="dxa"/>
            <w:gridSpan w:val="8"/>
            <w:vAlign w:val="center"/>
          </w:tcPr>
          <w:p>
            <w:pPr>
              <w:pageBreakBefore w:val="0"/>
              <w:widowControl w:val="0"/>
              <w:numPr>
                <w:ilvl w:val="0"/>
                <w:numId w:val="0"/>
              </w:numPr>
              <w:kinsoku/>
              <w:wordWrap/>
              <w:overflowPunct/>
              <w:topLinePunct w:val="0"/>
              <w:autoSpaceDE/>
              <w:autoSpaceDN/>
              <w:bidi w:val="0"/>
              <w:adjustRightInd/>
              <w:snapToGrid/>
              <w:spacing w:line="480" w:lineRule="exact"/>
              <w:jc w:val="center"/>
              <w:textAlignment w:val="auto"/>
              <w:rPr>
                <w:rFonts w:hint="eastAsia" w:ascii="Arial" w:hAnsi="Arial" w:eastAsia="黑体" w:cs="Times New Roman"/>
                <w:b/>
                <w:color w:val="auto"/>
                <w:kern w:val="2"/>
                <w:sz w:val="28"/>
                <w:szCs w:val="28"/>
                <w:lang w:val="en-US" w:eastAsia="zh-CN" w:bidi="ar-SA"/>
              </w:rPr>
            </w:pPr>
            <w:r>
              <w:rPr>
                <w:rFonts w:hint="eastAsia" w:ascii="Arial" w:hAnsi="Arial" w:eastAsia="黑体" w:cs="Times New Roman"/>
                <w:b/>
                <w:color w:val="auto"/>
                <w:kern w:val="2"/>
                <w:sz w:val="28"/>
                <w:szCs w:val="28"/>
                <w:lang w:val="en-US" w:eastAsia="zh-CN" w:bidi="ar-SA"/>
              </w:rPr>
              <w:t>一、规划技术指标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总用地性质</w:t>
            </w:r>
          </w:p>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lang w:eastAsia="zh-CN"/>
              </w:rPr>
              <w:t>（含兼容性）</w:t>
            </w:r>
          </w:p>
        </w:tc>
        <w:tc>
          <w:tcPr>
            <w:tcW w:w="7021" w:type="dxa"/>
            <w:gridSpan w:val="5"/>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eastAsia="zh-CN"/>
              </w:rPr>
            </w:pPr>
            <w:r>
              <w:rPr>
                <w:rFonts w:hint="eastAsia" w:ascii="仿宋" w:hAnsi="仿宋" w:eastAsia="仿宋" w:cs="仿宋"/>
                <w:b w:val="0"/>
                <w:bCs w:val="0"/>
                <w:color w:val="auto"/>
                <w:sz w:val="28"/>
                <w:szCs w:val="28"/>
                <w:vertAlign w:val="baseline"/>
                <w:lang w:eastAsia="zh-CN"/>
              </w:rPr>
              <w:t>一类工业用地（M</w:t>
            </w:r>
            <w:r>
              <w:rPr>
                <w:rFonts w:hint="eastAsia" w:ascii="仿宋" w:hAnsi="仿宋" w:eastAsia="仿宋" w:cs="仿宋"/>
                <w:b w:val="0"/>
                <w:bCs w:val="0"/>
                <w:color w:val="auto"/>
                <w:sz w:val="28"/>
                <w:szCs w:val="28"/>
                <w:vertAlign w:val="baseline"/>
                <w:lang w:val="en-US" w:eastAsia="zh-CN"/>
              </w:rPr>
              <w:t>1</w:t>
            </w:r>
            <w:r>
              <w:rPr>
                <w:rFonts w:hint="eastAsia" w:ascii="仿宋" w:hAnsi="仿宋" w:eastAsia="仿宋" w:cs="仿宋"/>
                <w:b w:val="0"/>
                <w:bCs w:val="0"/>
                <w:color w:val="auto"/>
                <w:sz w:val="28"/>
                <w:szCs w:val="28"/>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总用地面积（㎡）</w:t>
            </w:r>
          </w:p>
        </w:tc>
        <w:tc>
          <w:tcPr>
            <w:tcW w:w="1712" w:type="dxa"/>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35301</w:t>
            </w:r>
          </w:p>
        </w:tc>
        <w:tc>
          <w:tcPr>
            <w:tcW w:w="3082"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可建设用地面积（㎡）</w:t>
            </w:r>
          </w:p>
        </w:tc>
        <w:tc>
          <w:tcPr>
            <w:tcW w:w="2227" w:type="dxa"/>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default"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35301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容积率</w:t>
            </w:r>
          </w:p>
        </w:tc>
        <w:tc>
          <w:tcPr>
            <w:tcW w:w="7021" w:type="dxa"/>
            <w:gridSpan w:val="5"/>
            <w:vAlign w:val="center"/>
          </w:tcPr>
          <w:p>
            <w:pPr>
              <w:spacing w:line="480" w:lineRule="exact"/>
              <w:jc w:val="center"/>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u w:val="none"/>
                <w:lang w:val="en-US" w:eastAsia="zh-CN"/>
              </w:rPr>
              <w:t>2.0</w:t>
            </w:r>
            <w:r>
              <w:rPr>
                <w:rFonts w:hint="eastAsia" w:ascii="仿宋" w:hAnsi="仿宋" w:eastAsia="仿宋" w:cs="仿宋"/>
                <w:color w:val="auto"/>
                <w:sz w:val="28"/>
                <w:szCs w:val="28"/>
                <w:u w:val="none"/>
              </w:rPr>
              <w:t>，</w:t>
            </w:r>
            <w:r>
              <w:rPr>
                <w:rFonts w:hint="eastAsia" w:ascii="仿宋" w:hAnsi="仿宋" w:eastAsia="仿宋" w:cs="仿宋"/>
                <w:color w:val="auto"/>
                <w:sz w:val="28"/>
                <w:szCs w:val="28"/>
              </w:rPr>
              <w:t>≤</w:t>
            </w:r>
            <w:r>
              <w:rPr>
                <w:rFonts w:hint="eastAsia" w:ascii="仿宋" w:hAnsi="仿宋" w:eastAsia="仿宋" w:cs="仿宋"/>
                <w:color w:val="auto"/>
                <w:sz w:val="28"/>
                <w:szCs w:val="28"/>
                <w:u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rPr>
            </w:pPr>
            <w:r>
              <w:rPr>
                <w:rFonts w:hint="eastAsia" w:ascii="仿宋" w:hAnsi="仿宋" w:eastAsia="仿宋" w:cs="仿宋"/>
                <w:b w:val="0"/>
                <w:bCs w:val="0"/>
                <w:color w:val="auto"/>
                <w:sz w:val="28"/>
                <w:szCs w:val="28"/>
              </w:rPr>
              <w:t>计算容积率建筑面积（㎡）</w:t>
            </w:r>
          </w:p>
        </w:tc>
        <w:tc>
          <w:tcPr>
            <w:tcW w:w="7021" w:type="dxa"/>
            <w:gridSpan w:val="5"/>
            <w:vAlign w:val="center"/>
          </w:tcPr>
          <w:p>
            <w:pPr>
              <w:spacing w:line="480" w:lineRule="exact"/>
              <w:jc w:val="center"/>
              <w:rPr>
                <w:rFonts w:hint="eastAsia" w:ascii="仿宋" w:hAnsi="仿宋" w:eastAsia="仿宋" w:cs="仿宋"/>
                <w:b w:val="0"/>
                <w:bCs w:val="0"/>
                <w:color w:val="auto"/>
                <w:sz w:val="28"/>
                <w:szCs w:val="28"/>
                <w:vertAlign w:val="baseline"/>
              </w:rPr>
            </w:pP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u w:val="none"/>
                <w:lang w:val="en-US" w:eastAsia="zh-CN"/>
              </w:rPr>
              <w:t>70602</w:t>
            </w:r>
            <w:r>
              <w:rPr>
                <w:rFonts w:hint="eastAsia" w:ascii="仿宋" w:hAnsi="仿宋" w:eastAsia="仿宋" w:cs="仿宋"/>
                <w:color w:val="auto"/>
                <w:sz w:val="28"/>
                <w:szCs w:val="28"/>
                <w:u w:val="none"/>
              </w:rPr>
              <w:t>，</w:t>
            </w:r>
            <w:r>
              <w:rPr>
                <w:rFonts w:hint="eastAsia" w:ascii="仿宋" w:hAnsi="仿宋" w:eastAsia="仿宋" w:cs="仿宋"/>
                <w:color w:val="auto"/>
                <w:sz w:val="28"/>
                <w:szCs w:val="28"/>
              </w:rPr>
              <w:t>≤</w:t>
            </w:r>
            <w:r>
              <w:rPr>
                <w:rFonts w:hint="eastAsia" w:ascii="仿宋" w:hAnsi="仿宋" w:eastAsia="仿宋" w:cs="仿宋"/>
                <w:color w:val="auto"/>
                <w:sz w:val="28"/>
                <w:szCs w:val="28"/>
                <w:u w:val="none"/>
                <w:lang w:val="en-US" w:eastAsia="zh-CN"/>
              </w:rPr>
              <w:t>141204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eastAsia="zh-CN"/>
              </w:rPr>
            </w:pPr>
            <w:r>
              <w:rPr>
                <w:rFonts w:hint="eastAsia" w:ascii="仿宋" w:hAnsi="仿宋" w:eastAsia="仿宋" w:cs="仿宋"/>
                <w:b w:val="0"/>
                <w:bCs w:val="0"/>
                <w:color w:val="auto"/>
                <w:sz w:val="28"/>
                <w:szCs w:val="28"/>
              </w:rPr>
              <w:t>建筑密度</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lang w:val="en-US" w:eastAsia="zh-CN"/>
              </w:rPr>
              <w:t>%</w:t>
            </w:r>
            <w:r>
              <w:rPr>
                <w:rFonts w:hint="eastAsia" w:ascii="仿宋" w:hAnsi="仿宋" w:eastAsia="仿宋" w:cs="仿宋"/>
                <w:b w:val="0"/>
                <w:bCs w:val="0"/>
                <w:color w:val="auto"/>
                <w:sz w:val="28"/>
                <w:szCs w:val="28"/>
                <w:lang w:eastAsia="zh-CN"/>
              </w:rPr>
              <w:t>）</w:t>
            </w:r>
          </w:p>
        </w:tc>
        <w:tc>
          <w:tcPr>
            <w:tcW w:w="1712" w:type="dxa"/>
            <w:vAlign w:val="center"/>
          </w:tcPr>
          <w:p>
            <w:pPr>
              <w:ind w:firstLine="280" w:firstLineChars="1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 ≥ 35 ，</w:t>
            </w:r>
          </w:p>
          <w:p>
            <w:pPr>
              <w:ind w:firstLine="280" w:firstLineChars="100"/>
              <w:rPr>
                <w:rFonts w:hint="eastAsia" w:ascii="仿宋" w:hAnsi="仿宋" w:eastAsia="仿宋" w:cs="仿宋"/>
                <w:b w:val="0"/>
                <w:bCs w:val="0"/>
                <w:color w:val="auto"/>
                <w:sz w:val="28"/>
                <w:szCs w:val="28"/>
                <w:vertAlign w:val="baseline"/>
              </w:rPr>
            </w:pPr>
            <w:r>
              <w:rPr>
                <w:rFonts w:hint="eastAsia" w:ascii="仿宋" w:hAnsi="仿宋" w:eastAsia="仿宋" w:cs="仿宋"/>
                <w:color w:val="auto"/>
                <w:sz w:val="28"/>
                <w:szCs w:val="28"/>
                <w:lang w:val="en-US" w:eastAsia="zh-CN"/>
              </w:rPr>
              <w:t>≤  50 。</w:t>
            </w:r>
          </w:p>
        </w:tc>
        <w:tc>
          <w:tcPr>
            <w:tcW w:w="3082"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绿地率</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lang w:val="en-US" w:eastAsia="zh-CN"/>
              </w:rPr>
              <w:t>%</w:t>
            </w:r>
            <w:r>
              <w:rPr>
                <w:rFonts w:hint="eastAsia" w:ascii="仿宋" w:hAnsi="仿宋" w:eastAsia="仿宋" w:cs="仿宋"/>
                <w:b w:val="0"/>
                <w:bCs w:val="0"/>
                <w:color w:val="auto"/>
                <w:sz w:val="28"/>
                <w:szCs w:val="28"/>
                <w:lang w:eastAsia="zh-CN"/>
              </w:rPr>
              <w:t>）</w:t>
            </w:r>
          </w:p>
        </w:tc>
        <w:tc>
          <w:tcPr>
            <w:tcW w:w="2227" w:type="dxa"/>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w:t>
            </w:r>
            <w:r>
              <w:rPr>
                <w:rFonts w:hint="eastAsia" w:ascii="仿宋" w:hAnsi="仿宋" w:eastAsia="仿宋" w:cs="仿宋"/>
                <w:b w:val="0"/>
                <w:bCs w:val="0"/>
                <w:color w:val="auto"/>
                <w:sz w:val="28"/>
                <w:szCs w:val="28"/>
                <w:u w:val="none"/>
                <w:lang w:val="en-US" w:eastAsia="zh-CN"/>
              </w:rPr>
              <w:t xml:space="preserve"> 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vertAlign w:val="baseline"/>
                <w:lang w:eastAsia="zh-CN"/>
              </w:rPr>
            </w:pPr>
            <w:r>
              <w:rPr>
                <w:rFonts w:hint="eastAsia" w:ascii="仿宋" w:hAnsi="仿宋" w:eastAsia="仿宋" w:cs="仿宋"/>
                <w:b w:val="0"/>
                <w:bCs w:val="0"/>
                <w:color w:val="auto"/>
                <w:sz w:val="28"/>
                <w:szCs w:val="28"/>
              </w:rPr>
              <w:t>建筑</w:t>
            </w:r>
            <w:r>
              <w:rPr>
                <w:rFonts w:hint="eastAsia" w:ascii="仿宋" w:hAnsi="仿宋" w:eastAsia="仿宋" w:cs="仿宋"/>
                <w:b w:val="0"/>
                <w:bCs w:val="0"/>
                <w:color w:val="auto"/>
                <w:sz w:val="28"/>
                <w:szCs w:val="28"/>
                <w:lang w:eastAsia="zh-CN"/>
              </w:rPr>
              <w:t>控</w:t>
            </w:r>
            <w:r>
              <w:rPr>
                <w:rFonts w:hint="eastAsia" w:ascii="仿宋" w:hAnsi="仿宋" w:eastAsia="仿宋" w:cs="仿宋"/>
                <w:b w:val="0"/>
                <w:bCs w:val="0"/>
                <w:color w:val="auto"/>
                <w:sz w:val="28"/>
                <w:szCs w:val="28"/>
              </w:rPr>
              <w:t>高</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lang w:val="en-US" w:eastAsia="zh-CN"/>
              </w:rPr>
              <w:t>m</w:t>
            </w:r>
            <w:r>
              <w:rPr>
                <w:rFonts w:hint="eastAsia" w:ascii="仿宋" w:hAnsi="仿宋" w:eastAsia="仿宋" w:cs="仿宋"/>
                <w:b w:val="0"/>
                <w:bCs w:val="0"/>
                <w:color w:val="auto"/>
                <w:sz w:val="28"/>
                <w:szCs w:val="28"/>
                <w:lang w:eastAsia="zh-CN"/>
              </w:rPr>
              <w:t>）</w:t>
            </w:r>
          </w:p>
        </w:tc>
        <w:tc>
          <w:tcPr>
            <w:tcW w:w="7021" w:type="dxa"/>
            <w:gridSpan w:val="5"/>
            <w:vAlign w:val="center"/>
          </w:tcPr>
          <w:p>
            <w:pPr>
              <w:pageBreakBefore w:val="0"/>
              <w:widowControl w:val="0"/>
              <w:numPr>
                <w:ilvl w:val="0"/>
                <w:numId w:val="0"/>
              </w:numPr>
              <w:kinsoku/>
              <w:wordWrap/>
              <w:overflowPunct/>
              <w:topLinePunct w:val="0"/>
              <w:autoSpaceDE/>
              <w:autoSpaceDN/>
              <w:bidi w:val="0"/>
              <w:snapToGrid/>
              <w:spacing w:line="480" w:lineRule="exact"/>
              <w:jc w:val="left"/>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应建造三层及以上多层厂房，不得建造单层厂房（有安全、消防等特殊规定或生产环节有特殊要求的除外）；</w:t>
            </w:r>
            <w:r>
              <w:rPr>
                <w:rFonts w:hint="eastAsia" w:ascii="仿宋" w:hAnsi="仿宋" w:eastAsia="仿宋" w:cs="仿宋"/>
                <w:b w:val="0"/>
                <w:bCs w:val="0"/>
                <w:color w:val="auto"/>
                <w:sz w:val="28"/>
                <w:szCs w:val="28"/>
                <w:lang w:val="en-US" w:eastAsia="zh-CN"/>
              </w:rPr>
              <w:t>配套行政办公及生活设施的建筑高度控制在60米以内，厂房的建筑高度控制在80米以内（包括附属构筑物）。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zh-CN" w:eastAsia="zh-CN"/>
              </w:rPr>
              <w:t>建筑间距</w:t>
            </w:r>
          </w:p>
        </w:tc>
        <w:tc>
          <w:tcPr>
            <w:tcW w:w="7021"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left"/>
              <w:textAlignment w:val="auto"/>
              <w:rPr>
                <w:rFonts w:hint="eastAsia" w:ascii="仿宋" w:hAnsi="仿宋" w:eastAsia="仿宋" w:cs="仿宋"/>
                <w:b w:val="0"/>
                <w:bCs w:val="0"/>
                <w:i/>
                <w:iCs/>
                <w:color w:val="auto"/>
                <w:sz w:val="28"/>
                <w:szCs w:val="28"/>
                <w:lang w:val="en-US" w:eastAsia="zh-CN"/>
              </w:rPr>
            </w:pPr>
            <w:r>
              <w:rPr>
                <w:rFonts w:hint="eastAsia" w:ascii="仿宋" w:hAnsi="仿宋" w:eastAsia="仿宋" w:cs="仿宋"/>
                <w:b w:val="0"/>
                <w:bCs w:val="0"/>
                <w:color w:val="auto"/>
                <w:sz w:val="28"/>
                <w:szCs w:val="28"/>
              </w:rPr>
              <w:t>按照《广州市城乡规划技术规定》执行</w:t>
            </w:r>
            <w:r>
              <w:rPr>
                <w:rFonts w:hint="eastAsia" w:ascii="仿宋" w:hAnsi="仿宋" w:eastAsia="仿宋" w:cs="仿宋"/>
                <w:b w:val="0"/>
                <w:bCs w:val="0"/>
                <w:color w:val="auto"/>
                <w:sz w:val="28"/>
                <w:szCs w:val="28"/>
                <w:lang w:eastAsia="zh-CN"/>
              </w:rPr>
              <w:t>，城市设计有特殊规定的按其执行。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617" w:type="dxa"/>
            <w:gridSpan w:val="3"/>
            <w:vAlign w:val="center"/>
          </w:tcPr>
          <w:p>
            <w:pPr>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建筑退让</w:t>
            </w:r>
          </w:p>
        </w:tc>
        <w:tc>
          <w:tcPr>
            <w:tcW w:w="7021" w:type="dxa"/>
            <w:gridSpan w:val="5"/>
            <w:vAlign w:val="center"/>
          </w:tcPr>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left"/>
              <w:textAlignment w:val="auto"/>
              <w:rPr>
                <w:rFonts w:hint="default" w:ascii="仿宋" w:hAnsi="仿宋" w:eastAsia="仿宋" w:cs="仿宋"/>
                <w:b w:val="0"/>
                <w:bCs w:val="0"/>
                <w:color w:val="auto"/>
                <w:sz w:val="28"/>
                <w:szCs w:val="28"/>
                <w:highlight w:val="none"/>
                <w:u w:val="single"/>
                <w:lang w:val="en-US"/>
              </w:rPr>
            </w:pPr>
            <w:r>
              <w:rPr>
                <w:rFonts w:hint="eastAsia" w:ascii="仿宋" w:hAnsi="仿宋" w:eastAsia="仿宋" w:cs="仿宋"/>
                <w:b w:val="0"/>
                <w:bCs w:val="0"/>
                <w:color w:val="auto"/>
                <w:sz w:val="28"/>
                <w:szCs w:val="28"/>
                <w:highlight w:val="none"/>
              </w:rPr>
              <w:t>按照《广州市城乡规划技术规定》执行</w:t>
            </w:r>
            <w:r>
              <w:rPr>
                <w:rFonts w:hint="eastAsia" w:ascii="仿宋" w:hAnsi="仿宋" w:eastAsia="仿宋" w:cs="仿宋"/>
                <w:b w:val="0"/>
                <w:bCs w:val="0"/>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2617" w:type="dxa"/>
            <w:gridSpan w:val="3"/>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zh-CN"/>
              </w:rPr>
              <w:t>停车配建</w:t>
            </w:r>
          </w:p>
        </w:tc>
        <w:tc>
          <w:tcPr>
            <w:tcW w:w="7021" w:type="dxa"/>
            <w:gridSpan w:val="5"/>
            <w:vAlign w:val="center"/>
          </w:tcPr>
          <w:p>
            <w:pPr>
              <w:pageBreakBefore w:val="0"/>
              <w:widowControl w:val="0"/>
              <w:kinsoku/>
              <w:wordWrap/>
              <w:overflowPunct/>
              <w:topLinePunct w:val="0"/>
              <w:autoSpaceDE/>
              <w:autoSpaceDN/>
              <w:bidi w:val="0"/>
              <w:adjustRightInd/>
              <w:snapToGrid/>
              <w:spacing w:line="480" w:lineRule="exact"/>
              <w:ind w:firstLine="0" w:firstLineChars="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highlight w:val="none"/>
                <w:lang w:eastAsia="zh-CN"/>
              </w:rPr>
              <w:t>按照《广州市建设项目停车配建指标规定》执行。城市设计有特殊规定的按其规定执行。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9638" w:type="dxa"/>
            <w:gridSpan w:val="8"/>
            <w:vAlign w:val="center"/>
          </w:tcPr>
          <w:p>
            <w:pPr>
              <w:pageBreakBefore w:val="0"/>
              <w:widowControl w:val="0"/>
              <w:kinsoku/>
              <w:wordWrap/>
              <w:overflowPunct/>
              <w:topLinePunct w:val="0"/>
              <w:autoSpaceDE/>
              <w:autoSpaceDN/>
              <w:bidi w:val="0"/>
              <w:snapToGrid/>
              <w:spacing w:line="480" w:lineRule="exact"/>
              <w:ind w:firstLine="643" w:firstLineChars="200"/>
              <w:jc w:val="center"/>
              <w:textAlignment w:val="auto"/>
              <w:rPr>
                <w:rFonts w:hint="eastAsia" w:ascii="仿宋" w:hAnsi="仿宋" w:eastAsia="仿宋" w:cs="仿宋"/>
                <w:b w:val="0"/>
                <w:bCs w:val="0"/>
                <w:color w:val="auto"/>
                <w:sz w:val="28"/>
                <w:szCs w:val="28"/>
                <w:lang w:eastAsia="zh-CN"/>
              </w:rPr>
            </w:pPr>
            <w:r>
              <w:rPr>
                <w:rFonts w:hint="eastAsia" w:ascii="Arial" w:hAnsi="Arial" w:eastAsia="黑体" w:cs="Times New Roman"/>
                <w:b/>
                <w:color w:val="auto"/>
                <w:kern w:val="2"/>
                <w:sz w:val="32"/>
                <w:szCs w:val="24"/>
                <w:lang w:val="en-US" w:eastAsia="zh-CN" w:bidi="ar-SA"/>
              </w:rPr>
              <w:t>二、公共服务及市政交通设施配套要求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9638" w:type="dxa"/>
            <w:gridSpan w:val="8"/>
            <w:vAlign w:val="center"/>
          </w:tcPr>
          <w:p>
            <w:pPr>
              <w:pageBreakBefore w:val="0"/>
              <w:widowControl w:val="0"/>
              <w:kinsoku/>
              <w:wordWrap/>
              <w:overflowPunct/>
              <w:topLinePunct w:val="0"/>
              <w:autoSpaceDE/>
              <w:autoSpaceDN/>
              <w:bidi w:val="0"/>
              <w:snapToGrid/>
              <w:spacing w:line="480" w:lineRule="exact"/>
              <w:ind w:firstLine="560" w:firstLineChars="200"/>
              <w:jc w:val="left"/>
              <w:textAlignment w:val="auto"/>
              <w:rPr>
                <w:rFonts w:hint="eastAsia" w:ascii="Arial" w:hAnsi="Arial" w:eastAsia="黑体" w:cs="Times New Roman"/>
                <w:b/>
                <w:color w:val="auto"/>
                <w:kern w:val="2"/>
                <w:sz w:val="32"/>
                <w:szCs w:val="24"/>
                <w:lang w:val="en-US" w:eastAsia="zh-CN" w:bidi="ar-SA"/>
              </w:rPr>
            </w:pPr>
            <w:r>
              <w:rPr>
                <w:rFonts w:hint="eastAsia" w:ascii="仿宋_GB2312" w:hAnsi="仿宋" w:eastAsia="仿宋_GB2312" w:cs="仿宋"/>
                <w:b w:val="0"/>
                <w:bCs w:val="0"/>
                <w:color w:val="auto"/>
                <w:sz w:val="28"/>
                <w:szCs w:val="28"/>
                <w:lang w:val="en-US" w:eastAsia="zh-CN"/>
              </w:rPr>
              <w:t>普通工业用地内配套行政办公及生活服务设施的用地面积不大于总用地面积的7%，计容建筑面积不大于总计容建筑面积的14%；位于价值创新园内的，计容建筑面积不大于总计容建筑面积的15%。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9638" w:type="dxa"/>
            <w:gridSpan w:val="8"/>
            <w:vAlign w:val="center"/>
          </w:tcPr>
          <w:p>
            <w:pPr>
              <w:keepNext/>
              <w:keepLines/>
              <w:pageBreakBefore w:val="0"/>
              <w:widowControl w:val="0"/>
              <w:numPr>
                <w:ilvl w:val="0"/>
                <w:numId w:val="0"/>
              </w:numPr>
              <w:kinsoku/>
              <w:wordWrap/>
              <w:overflowPunct/>
              <w:topLinePunct w:val="0"/>
              <w:autoSpaceDE/>
              <w:autoSpaceDN/>
              <w:bidi w:val="0"/>
              <w:snapToGrid/>
              <w:spacing w:before="0" w:beforeLines="0" w:beforeAutospacing="0" w:after="0" w:afterLines="0" w:afterAutospacing="0" w:line="480" w:lineRule="exact"/>
              <w:jc w:val="center"/>
              <w:textAlignment w:val="auto"/>
              <w:outlineLvl w:val="1"/>
              <w:rPr>
                <w:rFonts w:hint="eastAsia" w:ascii="Arial" w:hAnsi="Arial" w:eastAsia="黑体" w:cs="Times New Roman"/>
                <w:b/>
                <w:color w:val="auto"/>
                <w:kern w:val="2"/>
                <w:sz w:val="32"/>
                <w:szCs w:val="24"/>
                <w:lang w:val="en-US" w:eastAsia="zh-CN" w:bidi="ar-SA"/>
              </w:rPr>
            </w:pPr>
            <w:r>
              <w:rPr>
                <w:rFonts w:hint="eastAsia" w:ascii="Arial" w:hAnsi="Arial" w:eastAsia="黑体" w:cs="Times New Roman"/>
                <w:b/>
                <w:color w:val="auto"/>
                <w:kern w:val="2"/>
                <w:sz w:val="32"/>
                <w:szCs w:val="24"/>
                <w:lang w:val="en-US" w:eastAsia="zh-CN" w:bidi="ar-SA"/>
              </w:rPr>
              <w:t>三、城市设计要求</w:t>
            </w:r>
          </w:p>
          <w:p>
            <w:pPr>
              <w:pageBreakBefore w:val="0"/>
              <w:widowControl w:val="0"/>
              <w:kinsoku/>
              <w:wordWrap/>
              <w:overflowPunct/>
              <w:topLinePunct w:val="0"/>
              <w:autoSpaceDE/>
              <w:autoSpaceDN/>
              <w:bidi w:val="0"/>
              <w:snapToGrid/>
              <w:spacing w:line="480" w:lineRule="exact"/>
              <w:ind w:firstLine="560" w:firstLineChars="200"/>
              <w:jc w:val="left"/>
              <w:textAlignment w:val="auto"/>
              <w:rPr>
                <w:rFonts w:hint="eastAsia" w:ascii="仿宋_GB2312" w:hAnsi="仿宋" w:eastAsia="仿宋_GB2312" w:cs="仿宋"/>
                <w:b w:val="0"/>
                <w:bCs w:val="0"/>
                <w:color w:val="auto"/>
                <w:kern w:val="2"/>
                <w:sz w:val="28"/>
                <w:szCs w:val="28"/>
                <w:lang w:val="en-US" w:eastAsia="zh-CN" w:bidi="ar-SA"/>
              </w:rPr>
            </w:pPr>
            <w:r>
              <w:rPr>
                <w:rFonts w:hint="eastAsia" w:ascii="仿宋" w:hAnsi="仿宋" w:eastAsia="仿宋" w:cs="仿宋"/>
                <w:b w:val="0"/>
                <w:bCs w:val="0"/>
                <w:color w:val="auto"/>
                <w:sz w:val="28"/>
                <w:szCs w:val="28"/>
                <w:lang w:eastAsia="zh-CN"/>
              </w:rPr>
              <w:t>用地未编制城市设计导则，城市设计要求按下列要求执行。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jc w:val="center"/>
              <w:textAlignment w:val="auto"/>
              <w:outlineLvl w:val="0"/>
              <w:rPr>
                <w:rFonts w:hint="eastAsia" w:ascii="仿宋" w:hAnsi="仿宋" w:eastAsia="仿宋" w:cs="仿宋"/>
                <w:b/>
                <w:bCs/>
                <w:color w:val="auto"/>
                <w:kern w:val="44"/>
                <w:sz w:val="28"/>
                <w:szCs w:val="28"/>
                <w:vertAlign w:val="baseline"/>
                <w:lang w:val="zh-CN" w:eastAsia="zh-CN" w:bidi="ar-SA"/>
              </w:rPr>
            </w:pPr>
            <w:r>
              <w:rPr>
                <w:rFonts w:hint="eastAsia" w:ascii="仿宋" w:hAnsi="仿宋" w:eastAsia="仿宋" w:cs="仿宋"/>
                <w:b/>
                <w:bCs/>
                <w:color w:val="auto"/>
                <w:kern w:val="44"/>
                <w:sz w:val="28"/>
                <w:szCs w:val="28"/>
                <w:vertAlign w:val="baseline"/>
                <w:lang w:val="en-US" w:eastAsia="zh-CN" w:bidi="ar-SA"/>
              </w:rPr>
              <w:t>场地设计与外环境设计</w:t>
            </w:r>
          </w:p>
        </w:tc>
        <w:tc>
          <w:tcPr>
            <w:tcW w:w="8255" w:type="dxa"/>
            <w:gridSpan w:val="7"/>
            <w:vAlign w:val="center"/>
          </w:tcPr>
          <w:p>
            <w:pPr>
              <w:pageBreakBefore w:val="0"/>
              <w:widowControl w:val="0"/>
              <w:numPr>
                <w:ilvl w:val="0"/>
                <w:numId w:val="0"/>
              </w:numPr>
              <w:kinsoku/>
              <w:wordWrap/>
              <w:overflowPunct/>
              <w:topLinePunct w:val="0"/>
              <w:autoSpaceDE/>
              <w:autoSpaceDN/>
              <w:bidi w:val="0"/>
              <w:snapToGrid/>
              <w:spacing w:line="480" w:lineRule="exact"/>
              <w:ind w:left="0" w:leftChars="0" w:firstLine="560" w:firstLineChars="200"/>
              <w:jc w:val="left"/>
              <w:textAlignment w:val="auto"/>
              <w:rPr>
                <w:rFonts w:hint="default" w:ascii="仿宋" w:hAnsi="仿宋" w:eastAsia="仿宋" w:cs="仿宋"/>
                <w:b w:val="0"/>
                <w:bCs w:val="0"/>
                <w:color w:val="auto"/>
                <w:kern w:val="2"/>
                <w:sz w:val="28"/>
                <w:szCs w:val="28"/>
                <w:lang w:val="en-US" w:eastAsia="zh-CN" w:bidi="ar-SA"/>
              </w:rPr>
            </w:pPr>
            <w:r>
              <w:rPr>
                <w:rFonts w:hint="eastAsia" w:ascii="仿宋" w:hAnsi="仿宋" w:eastAsia="仿宋" w:cs="仿宋"/>
                <w:b w:val="0"/>
                <w:bCs w:val="0"/>
                <w:color w:val="auto"/>
                <w:sz w:val="28"/>
                <w:szCs w:val="28"/>
                <w:lang w:val="en-US" w:eastAsia="zh-CN"/>
              </w:rPr>
              <w:t>建筑工程方案审查时，应开展场地设计（含首层平面）、道路（渠化）设计、步行系统设计。竖向标高不低于</w:t>
            </w:r>
            <w:r>
              <w:rPr>
                <w:rFonts w:hint="eastAsia" w:ascii="仿宋" w:hAnsi="仿宋" w:eastAsia="仿宋" w:cs="仿宋"/>
                <w:b w:val="0"/>
                <w:bCs w:val="0"/>
                <w:color w:val="auto"/>
                <w:sz w:val="28"/>
                <w:szCs w:val="28"/>
                <w:u w:val="none"/>
                <w:lang w:val="en-US" w:eastAsia="zh-CN"/>
              </w:rPr>
              <w:t>6.6</w:t>
            </w:r>
            <w:r>
              <w:rPr>
                <w:rFonts w:hint="eastAsia" w:ascii="仿宋" w:hAnsi="仿宋" w:eastAsia="仿宋" w:cs="仿宋"/>
                <w:b w:val="0"/>
                <w:bCs w:val="0"/>
                <w:color w:val="auto"/>
                <w:sz w:val="28"/>
                <w:szCs w:val="28"/>
                <w:lang w:val="en-US" w:eastAsia="zh-CN"/>
              </w:rPr>
              <w:t xml:space="preserve">米，须满足防洪及管线设置要求，并与周边道路协调。竖向设计应遵循自然地形，控制建筑室外地坪标高，建筑室外地坪和周边道路人行道应持平或平缓对接。室外地坪标高满足防洪及管线设置要求，与周边道路协调，地块与周边市政用地之间的高差应在本地块内通过绿化护坡相衔接。建筑红线内应与红线外场地设计协调，保证地块红线内外场地一体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jc w:val="center"/>
              <w:textAlignment w:val="auto"/>
              <w:outlineLvl w:val="0"/>
              <w:rPr>
                <w:rFonts w:hint="eastAsia" w:ascii="仿宋" w:hAnsi="仿宋" w:eastAsia="仿宋" w:cs="仿宋"/>
                <w:b/>
                <w:bCs/>
                <w:color w:val="auto"/>
                <w:kern w:val="44"/>
                <w:sz w:val="28"/>
                <w:szCs w:val="28"/>
                <w:vertAlign w:val="baseline"/>
                <w:lang w:val="en-US" w:eastAsia="zh-CN" w:bidi="ar-SA"/>
              </w:rPr>
            </w:pPr>
            <w:r>
              <w:rPr>
                <w:rFonts w:hint="eastAsia" w:ascii="仿宋" w:hAnsi="仿宋" w:eastAsia="仿宋" w:cs="仿宋"/>
                <w:b/>
                <w:bCs/>
                <w:color w:val="auto"/>
                <w:kern w:val="44"/>
                <w:sz w:val="28"/>
                <w:szCs w:val="28"/>
                <w:vertAlign w:val="baseline"/>
                <w:lang w:val="en-US" w:eastAsia="zh-CN" w:bidi="ar-SA"/>
              </w:rPr>
              <w:t>建筑设计</w:t>
            </w:r>
          </w:p>
          <w:p>
            <w:pPr>
              <w:keepNext/>
              <w:keepLines/>
              <w:pageBreakBefore w:val="0"/>
              <w:widowControl w:val="0"/>
              <w:kinsoku/>
              <w:wordWrap/>
              <w:overflowPunct/>
              <w:topLinePunct w:val="0"/>
              <w:autoSpaceDE/>
              <w:autoSpaceDN/>
              <w:bidi w:val="0"/>
              <w:snapToGrid/>
              <w:spacing w:before="0" w:beforeLines="0" w:after="0" w:afterLines="0" w:line="480" w:lineRule="exact"/>
              <w:jc w:val="center"/>
              <w:textAlignment w:val="auto"/>
              <w:outlineLvl w:val="0"/>
              <w:rPr>
                <w:rFonts w:hint="eastAsia" w:ascii="仿宋" w:hAnsi="仿宋" w:eastAsia="仿宋" w:cs="仿宋"/>
                <w:b/>
                <w:bCs/>
                <w:color w:val="auto"/>
                <w:kern w:val="44"/>
                <w:sz w:val="28"/>
                <w:szCs w:val="28"/>
                <w:vertAlign w:val="baseline"/>
                <w:lang w:val="zh-CN" w:eastAsia="zh-CN" w:bidi="ar-SA"/>
              </w:rPr>
            </w:pPr>
          </w:p>
        </w:tc>
        <w:tc>
          <w:tcPr>
            <w:tcW w:w="8255" w:type="dxa"/>
            <w:gridSpan w:val="7"/>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u w:val="single"/>
                <w:shd w:val="clear" w:color="auto" w:fill="auto"/>
                <w:lang w:val="en-US" w:eastAsia="zh-CN" w:bidi="ar-SA"/>
              </w:rPr>
            </w:pPr>
            <w:r>
              <w:rPr>
                <w:rFonts w:hint="eastAsia" w:ascii="仿宋" w:hAnsi="仿宋" w:eastAsia="仿宋" w:cs="仿宋"/>
                <w:b w:val="0"/>
                <w:bCs w:val="0"/>
                <w:color w:val="auto"/>
                <w:kern w:val="44"/>
                <w:sz w:val="28"/>
                <w:szCs w:val="28"/>
                <w:lang w:val="en-US" w:eastAsia="zh-CN" w:bidi="ar-SA"/>
              </w:rPr>
              <w:t>1.建筑设计方案应有利于周边地区环境价值的提升，体现品质化、精细化设计。建筑单体风貌应服从群体风貌要求，与建筑群体风貌协调。多栋建筑组成建筑群时应高低错落。</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2.鼓励通过建筑拼接、建筑屋顶一体化设计等方式，形成界面连续、立面风貌、色彩、材质协调的街道界面，打造尺度适宜、富有活力、设计精致、具有人情味的街道。</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3.户外广告和招牌不得在建筑屋顶轮廓线以上（含裙楼轮廓线）设置。</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4.</w:t>
            </w:r>
            <w:r>
              <w:rPr>
                <w:rFonts w:hint="eastAsia" w:ascii="仿宋" w:hAnsi="仿宋" w:eastAsia="仿宋" w:cs="仿宋"/>
                <w:b w:val="0"/>
                <w:bCs w:val="0"/>
                <w:color w:val="auto"/>
                <w:kern w:val="44"/>
                <w:sz w:val="28"/>
                <w:szCs w:val="28"/>
                <w:u w:val="none"/>
                <w:shd w:val="clear" w:color="auto" w:fill="auto"/>
                <w:lang w:val="en-US" w:eastAsia="zh-CN" w:bidi="ar-SA"/>
              </w:rPr>
              <w:t>由于该地块位于重要城市景观节点，建筑立面应进行公建化处理。</w:t>
            </w:r>
            <w:r>
              <w:rPr>
                <w:rFonts w:hint="eastAsia" w:ascii="仿宋" w:hAnsi="仿宋" w:eastAsia="仿宋" w:cs="仿宋"/>
                <w:b w:val="0"/>
                <w:bCs w:val="0"/>
                <w:color w:val="auto"/>
                <w:kern w:val="44"/>
                <w:sz w:val="28"/>
                <w:szCs w:val="28"/>
                <w:lang w:val="en-US" w:eastAsia="zh-CN" w:bidi="ar-SA"/>
              </w:rPr>
              <w:t>建筑立面设计鼓励采用被动节能措施，不宜采用镜面反射玻璃或抛光金属板等材料。住宅、党政机关办公楼、综合医院、中小学校、托儿所、幼儿园、养老院的新建、改建、扩建以及立面改造工程，不得在二层以上部位设置玻璃幕墙。建筑物位于T形路口正对直线路段的外立面不得设置玻璃幕墙。设置玻璃幕墙的，应按照《广州市建筑玻璃幕墙管理办法》执行。</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5.建筑屋顶应统筹考虑消防疏散、屋顶绿化、室外活动、太阳能利用等功能需求，鼓励以苗圃开花植物为主进行屋顶景观设计。住宅屋顶要和建筑立面一体化设计，避免出现屋顶水箱等构筑物突兀、裸露的情况。</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6.鼓励整体化、艺术化的附属设施设计，建筑设备、管道等附属设施与人行道、公共活动场所宜保持一定距离。</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en-US" w:eastAsia="zh-CN" w:bidi="ar-SA"/>
              </w:rPr>
              <w:t>7.设计应遵循循环经济理念，尽可能参照绿色建筑要求应用新技术，采用新型节能环保材料，地块内的建筑都应达到绿色建筑标准。</w:t>
            </w:r>
            <w:r>
              <w:rPr>
                <w:rFonts w:hint="eastAsia" w:ascii="仿宋" w:hAnsi="仿宋" w:eastAsia="仿宋" w:cs="仿宋"/>
                <w:b w:val="0"/>
                <w:bCs w:val="0"/>
                <w:color w:val="auto"/>
                <w:kern w:val="44"/>
                <w:sz w:val="28"/>
                <w:szCs w:val="28"/>
                <w:lang w:val="zh-CN" w:eastAsia="zh-CN" w:bidi="ar-SA"/>
              </w:rPr>
              <w:t>绿色建筑等级标准按《关于印发广州市南沙区绿色建筑与建筑节能工作指导意见的通知》（穗南府办〔2017〕8号）执行。</w:t>
            </w:r>
            <w:r>
              <w:rPr>
                <w:rFonts w:hint="eastAsia" w:ascii="仿宋" w:hAnsi="仿宋" w:eastAsia="仿宋" w:cs="仿宋"/>
                <w:b w:val="0"/>
                <w:bCs w:val="0"/>
                <w:color w:val="auto"/>
                <w:kern w:val="44"/>
                <w:sz w:val="28"/>
                <w:szCs w:val="28"/>
                <w:lang w:val="en-US" w:eastAsia="zh-CN" w:bidi="ar-SA"/>
              </w:rPr>
              <w:t>鼓励建筑设计按《智能建筑设计标准（GB/T50314-2006）》的要求，采用BIM技术进行设计。</w:t>
            </w:r>
          </w:p>
          <w:p>
            <w:pPr>
              <w:keepNext/>
              <w:keepLines/>
              <w:pageBreakBefore w:val="0"/>
              <w:widowControl w:val="0"/>
              <w:numPr>
                <w:ilvl w:val="-1"/>
                <w:numId w:val="0"/>
              </w:numPr>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8.新建建筑工程项目空调设置、第五立面设计、裙楼户外广告和招牌设置，应按照《广州市规划和自然资源局关于印发&lt;关于加强新建建筑工程空调设置、第五立面设计、裙楼户外广告和招牌设置规划审批管理实施意见&gt;的通知》要求执行。</w:t>
            </w:r>
          </w:p>
          <w:p>
            <w:pPr>
              <w:keepNext/>
              <w:keepLines/>
              <w:pageBreakBefore w:val="0"/>
              <w:widowControl w:val="0"/>
              <w:numPr>
                <w:ilvl w:val="-1"/>
                <w:numId w:val="0"/>
              </w:numPr>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u w:val="none"/>
                <w:lang w:val="en-US" w:eastAsia="zh-CN" w:bidi="ar-SA"/>
              </w:rPr>
            </w:pPr>
            <w:r>
              <w:rPr>
                <w:rFonts w:hint="eastAsia" w:ascii="仿宋" w:hAnsi="仿宋" w:eastAsia="仿宋" w:cs="仿宋"/>
                <w:b w:val="0"/>
                <w:bCs w:val="0"/>
                <w:color w:val="auto"/>
                <w:kern w:val="44"/>
                <w:sz w:val="28"/>
                <w:szCs w:val="28"/>
                <w:u w:val="none"/>
                <w:lang w:val="en-US" w:eastAsia="zh-CN" w:bidi="ar-SA"/>
              </w:rPr>
              <w:t>9.新建建筑工程项目若涉及危险化学品生产和储存经营，建筑设计方案报建时应征求应急部门和环保部门意见。</w:t>
            </w:r>
          </w:p>
          <w:p>
            <w:pPr>
              <w:keepNext/>
              <w:keepLines/>
              <w:pageBreakBefore w:val="0"/>
              <w:widowControl w:val="0"/>
              <w:numPr>
                <w:ilvl w:val="-1"/>
                <w:numId w:val="0"/>
              </w:numPr>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default"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u w:val="none"/>
                <w:lang w:val="en-US" w:eastAsia="zh-CN" w:bidi="ar-SA"/>
              </w:rPr>
              <w:t>10.在建筑设计方案报审前，应取得消防救援机构的书面意见。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9638" w:type="dxa"/>
            <w:gridSpan w:val="8"/>
            <w:vAlign w:val="center"/>
          </w:tcPr>
          <w:p>
            <w:pPr>
              <w:keepNext/>
              <w:keepLines/>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480" w:lineRule="exact"/>
              <w:jc w:val="center"/>
              <w:textAlignment w:val="auto"/>
              <w:outlineLvl w:val="1"/>
              <w:rPr>
                <w:rFonts w:hint="eastAsia" w:ascii="黑体" w:hAnsi="黑体" w:eastAsia="黑体" w:cs="黑体"/>
                <w:b/>
                <w:bCs/>
                <w:color w:val="auto"/>
                <w:kern w:val="2"/>
                <w:sz w:val="28"/>
                <w:szCs w:val="28"/>
                <w:lang w:val="zh-CN" w:eastAsia="zh-CN" w:bidi="ar-SA"/>
              </w:rPr>
            </w:pPr>
            <w:r>
              <w:rPr>
                <w:rFonts w:hint="eastAsia" w:ascii="Arial" w:hAnsi="Arial" w:eastAsia="黑体" w:cs="Times New Roman"/>
                <w:b/>
                <w:color w:val="auto"/>
                <w:kern w:val="2"/>
                <w:sz w:val="32"/>
                <w:szCs w:val="24"/>
                <w:lang w:val="zh-CN" w:eastAsia="zh-CN" w:bidi="ar-SA"/>
              </w:rPr>
              <w:t>四、附注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eastAsia="zh-CN"/>
              </w:rPr>
              <w:t>文件有效期</w:t>
            </w:r>
          </w:p>
        </w:tc>
        <w:tc>
          <w:tcPr>
            <w:tcW w:w="8255" w:type="dxa"/>
            <w:gridSpan w:val="7"/>
            <w:vAlign w:val="center"/>
          </w:tcPr>
          <w:p>
            <w:pPr>
              <w:keepNext/>
              <w:keepLines/>
              <w:pageBreakBefore w:val="0"/>
              <w:widowControl w:val="0"/>
              <w:kinsoku/>
              <w:wordWrap/>
              <w:overflowPunct/>
              <w:topLinePunct w:val="0"/>
              <w:autoSpaceDE/>
              <w:autoSpaceDN/>
              <w:bidi w:val="0"/>
              <w:adjustRightInd/>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i w:val="0"/>
                <w:caps w:val="0"/>
                <w:color w:val="auto"/>
                <w:spacing w:val="0"/>
                <w:kern w:val="44"/>
                <w:sz w:val="28"/>
                <w:szCs w:val="28"/>
                <w:shd w:val="clear" w:fill="auto"/>
                <w:lang w:val="zh-CN" w:eastAsia="zh-CN" w:bidi="ar-SA"/>
              </w:rPr>
              <w:t>政府储备用地在取得本规划条件后两年未供应建设用地使用权的，本规划条件自行失效</w:t>
            </w:r>
            <w:r>
              <w:rPr>
                <w:rFonts w:hint="eastAsia" w:ascii="仿宋" w:hAnsi="仿宋" w:eastAsia="仿宋" w:cs="仿宋"/>
                <w:b w:val="0"/>
                <w:bCs w:val="0"/>
                <w:color w:val="auto"/>
                <w:kern w:val="44"/>
                <w:sz w:val="28"/>
                <w:szCs w:val="28"/>
                <w:lang w:val="zh-CN"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注释</w:t>
            </w:r>
          </w:p>
        </w:tc>
        <w:tc>
          <w:tcPr>
            <w:tcW w:w="8255" w:type="dxa"/>
            <w:gridSpan w:val="7"/>
            <w:vAlign w:val="center"/>
          </w:tcPr>
          <w:p>
            <w:pPr>
              <w:keepNext/>
              <w:keepLines/>
              <w:pageBreakBefore w:val="0"/>
              <w:widowControl w:val="0"/>
              <w:kinsoku/>
              <w:wordWrap/>
              <w:overflowPunct/>
              <w:topLinePunct w:val="0"/>
              <w:autoSpaceDE/>
              <w:autoSpaceDN/>
              <w:bidi w:val="0"/>
              <w:adjustRightInd/>
              <w:snapToGrid/>
              <w:spacing w:before="0" w:beforeLines="0" w:after="0" w:afterLines="0" w:line="480" w:lineRule="exact"/>
              <w:ind w:firstLine="560" w:firstLineChars="200"/>
              <w:jc w:val="left"/>
              <w:textAlignment w:val="auto"/>
              <w:outlineLvl w:val="0"/>
              <w:rPr>
                <w:rFonts w:hint="eastAsia"/>
                <w:color w:val="auto"/>
                <w:lang w:val="zh-CN" w:eastAsia="zh-CN"/>
              </w:rPr>
            </w:pPr>
            <w:r>
              <w:rPr>
                <w:rFonts w:hint="eastAsia" w:ascii="仿宋" w:hAnsi="仿宋" w:eastAsia="仿宋" w:cs="仿宋"/>
                <w:b w:val="0"/>
                <w:bCs w:val="0"/>
                <w:color w:val="auto"/>
                <w:kern w:val="44"/>
                <w:sz w:val="28"/>
                <w:szCs w:val="28"/>
                <w:lang w:val="zh-CN" w:eastAsia="zh-CN" w:bidi="ar-SA"/>
              </w:rPr>
              <w:t>本规划条件应与建设用地规划红线图共同使用。地块规划（建筑）设计应符合本规划条件、国家现行规划、建筑设计规范和《广州市城乡规划技术规定》要求。凡未尽事宜，按国家和省市有关规定规范执行。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eastAsia="zh-CN"/>
              </w:rPr>
              <w:t>附件附图</w:t>
            </w:r>
          </w:p>
        </w:tc>
        <w:tc>
          <w:tcPr>
            <w:tcW w:w="8255" w:type="dxa"/>
            <w:gridSpan w:val="7"/>
            <w:vAlign w:val="center"/>
          </w:tcPr>
          <w:p>
            <w:pPr>
              <w:keepNext/>
              <w:keepLines/>
              <w:pageBreakBefore w:val="0"/>
              <w:widowControl w:val="0"/>
              <w:kinsoku/>
              <w:wordWrap/>
              <w:overflowPunct/>
              <w:topLinePunct w:val="0"/>
              <w:autoSpaceDE/>
              <w:autoSpaceDN/>
              <w:bidi w:val="0"/>
              <w:adjustRightInd/>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zh-CN" w:eastAsia="zh-CN" w:bidi="ar-SA"/>
              </w:rPr>
              <w:t>建设用地规划红线图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83" w:type="dxa"/>
            <w:vAlign w:val="center"/>
          </w:tcPr>
          <w:p>
            <w:pPr>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eastAsia="zh-CN"/>
              </w:rPr>
              <w:t>核发单位</w:t>
            </w:r>
          </w:p>
        </w:tc>
        <w:tc>
          <w:tcPr>
            <w:tcW w:w="4244" w:type="dxa"/>
            <w:gridSpan w:val="4"/>
            <w:vAlign w:val="center"/>
          </w:tcPr>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zh-CN"/>
              </w:rPr>
              <w:t>广州市规划和自然资源局</w:t>
            </w:r>
          </w:p>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zh-CN"/>
              </w:rPr>
              <w:t>南沙区分局（盖章）</w:t>
            </w:r>
          </w:p>
        </w:tc>
        <w:tc>
          <w:tcPr>
            <w:tcW w:w="1487" w:type="dxa"/>
            <w:vAlign w:val="center"/>
          </w:tcPr>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zh-CN"/>
              </w:rPr>
              <w:t>核发时间</w:t>
            </w:r>
          </w:p>
        </w:tc>
        <w:tc>
          <w:tcPr>
            <w:tcW w:w="2524" w:type="dxa"/>
            <w:gridSpan w:val="2"/>
            <w:vAlign w:val="center"/>
          </w:tcPr>
          <w:p>
            <w:pPr>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仿宋"/>
                <w:b w:val="0"/>
                <w:bCs w:val="0"/>
                <w:color w:val="auto"/>
                <w:sz w:val="28"/>
                <w:szCs w:val="28"/>
                <w:lang w:val="zh-CN"/>
              </w:rPr>
            </w:pPr>
            <w:r>
              <w:rPr>
                <w:rFonts w:hint="eastAsia" w:ascii="仿宋" w:hAnsi="仿宋" w:eastAsia="仿宋" w:cs="仿宋"/>
                <w:b w:val="0"/>
                <w:bCs w:val="0"/>
                <w:color w:val="auto"/>
                <w:sz w:val="28"/>
                <w:szCs w:val="28"/>
                <w:lang w:val="en-US" w:eastAsia="zh-CN"/>
              </w:rPr>
              <w:t>2022年1月 日</w:t>
            </w:r>
          </w:p>
        </w:tc>
      </w:tr>
    </w:tbl>
    <w:p>
      <w:r>
        <w:br w:type="page"/>
      </w:r>
    </w:p>
    <w:tbl>
      <w:tblPr>
        <w:tblStyle w:val="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8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38" w:type="dxa"/>
            <w:gridSpan w:val="2"/>
            <w:vAlign w:val="center"/>
          </w:tcPr>
          <w:p>
            <w:pPr>
              <w:keepNext/>
              <w:keepLines/>
              <w:pageBreakBefore w:val="0"/>
              <w:widowControl w:val="0"/>
              <w:numPr>
                <w:ilvl w:val="0"/>
                <w:numId w:val="0"/>
              </w:numPr>
              <w:kinsoku/>
              <w:wordWrap/>
              <w:overflowPunct/>
              <w:topLinePunct w:val="0"/>
              <w:autoSpaceDE/>
              <w:autoSpaceDN/>
              <w:bidi w:val="0"/>
              <w:snapToGrid/>
              <w:spacing w:before="0" w:beforeLines="0" w:beforeAutospacing="0" w:after="0" w:afterLines="0" w:afterAutospacing="0" w:line="480" w:lineRule="exact"/>
              <w:ind w:firstLine="4176" w:firstLineChars="13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Arial" w:hAnsi="Arial" w:eastAsia="黑体" w:cs="Times New Roman"/>
                <w:b/>
                <w:color w:val="auto"/>
                <w:kern w:val="2"/>
                <w:sz w:val="32"/>
                <w:szCs w:val="24"/>
                <w:lang w:val="en-US" w:eastAsia="zh-CN" w:bidi="ar-SA"/>
              </w:rPr>
              <w:t>其他事项告知栏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vertAlign w:val="baseline"/>
                <w:lang w:eastAsia="zh-CN"/>
              </w:rPr>
            </w:pPr>
            <w:r>
              <w:rPr>
                <w:rFonts w:hint="eastAsia" w:ascii="仿宋" w:hAnsi="仿宋" w:eastAsia="仿宋" w:cs="仿宋"/>
                <w:b/>
                <w:bCs/>
                <w:color w:val="auto"/>
                <w:sz w:val="28"/>
                <w:szCs w:val="28"/>
              </w:rPr>
              <w:t>名城保护</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zh-CN" w:eastAsia="zh-CN" w:bidi="ar-SA"/>
              </w:rPr>
              <w:t>地块位于历史城区、历史文化街区、历史文化名镇、历史文化名村、历史风貌区、传统村落、骑楼街的核心保护范围或者建设控制地带内的，应同步注明保护要求。地块内有历史建筑、传统风貌建筑、不可移动文化遗产保护线索、名木古树的，应</w:t>
            </w:r>
            <w:r>
              <w:rPr>
                <w:rFonts w:hint="eastAsia" w:ascii="仿宋" w:hAnsi="仿宋" w:eastAsia="仿宋" w:cs="仿宋"/>
                <w:b w:val="0"/>
                <w:bCs w:val="0"/>
                <w:color w:val="auto"/>
                <w:kern w:val="44"/>
                <w:sz w:val="28"/>
                <w:szCs w:val="28"/>
                <w:lang w:val="en-US" w:eastAsia="zh-CN" w:bidi="ar-SA"/>
              </w:rPr>
              <w:t>符合</w:t>
            </w:r>
            <w:r>
              <w:rPr>
                <w:rFonts w:hint="eastAsia" w:ascii="仿宋" w:hAnsi="仿宋" w:eastAsia="仿宋" w:cs="仿宋"/>
                <w:b w:val="0"/>
                <w:bCs w:val="0"/>
                <w:color w:val="auto"/>
                <w:kern w:val="44"/>
                <w:sz w:val="28"/>
                <w:szCs w:val="28"/>
                <w:lang w:val="zh-CN" w:eastAsia="zh-CN" w:bidi="ar-SA"/>
              </w:rPr>
              <w:t>保护要求；属于历史城区范围或地块内有工业遗产建筑的，未进行历史文化遗产普查，如涉及地面建筑拆除，应对拟拆旧建筑的历史文化价值进行评估论证并按有关程序报审；如涉及不可移动文物或地下文物埋藏区，或者在地下文物埋藏区以外进行大型工程（占地面积三万平方米以上的建设工程）建设，但尚未进行考古调查、勘探的，应按相关规定依法申请考古调查、勘探报文物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FangSong_GB2312" w:hAnsi="FangSong_GB2312" w:eastAsia="FangSong_GB2312" w:cs="FangSong_GB2312"/>
                <w:b/>
                <w:bCs/>
                <w:color w:val="auto"/>
                <w:kern w:val="2"/>
                <w:sz w:val="28"/>
                <w:szCs w:val="28"/>
                <w:lang w:val="en-US" w:eastAsia="zh-CN" w:bidi="ar-SA"/>
              </w:rPr>
            </w:pPr>
            <w:r>
              <w:rPr>
                <w:rFonts w:hint="eastAsia" w:ascii="FangSong_GB2312" w:hAnsi="FangSong_GB2312" w:eastAsia="FangSong_GB2312" w:cs="FangSong_GB2312"/>
                <w:b/>
                <w:bCs/>
                <w:color w:val="auto"/>
                <w:sz w:val="28"/>
                <w:szCs w:val="28"/>
                <w:lang w:val="en-US" w:eastAsia="zh-CN"/>
              </w:rPr>
              <w:t>城市</w:t>
            </w:r>
            <w:r>
              <w:rPr>
                <w:rFonts w:hint="eastAsia" w:ascii="FangSong_GB2312" w:hAnsi="FangSong_GB2312" w:eastAsia="FangSong_GB2312" w:cs="FangSong_GB2312"/>
                <w:b/>
                <w:bCs/>
                <w:color w:val="auto"/>
                <w:sz w:val="28"/>
                <w:szCs w:val="28"/>
              </w:rPr>
              <w:t>树木</w:t>
            </w:r>
            <w:r>
              <w:rPr>
                <w:rFonts w:hint="eastAsia" w:ascii="FangSong_GB2312" w:hAnsi="FangSong_GB2312" w:eastAsia="FangSong_GB2312" w:cs="FangSong_GB2312"/>
                <w:b/>
                <w:bCs/>
                <w:color w:val="auto"/>
                <w:sz w:val="28"/>
                <w:szCs w:val="28"/>
                <w:lang w:val="en-US" w:eastAsia="zh-CN"/>
              </w:rPr>
              <w:t>保护</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FangSong_GB2312" w:hAnsi="FangSong_GB2312" w:eastAsia="FangSong_GB2312" w:cs="FangSong_GB2312"/>
                <w:b w:val="0"/>
                <w:bCs w:val="0"/>
                <w:color w:val="auto"/>
                <w:kern w:val="44"/>
                <w:sz w:val="28"/>
                <w:szCs w:val="28"/>
                <w:lang w:val="zh-CN" w:eastAsia="zh-CN" w:bidi="ar-SA"/>
              </w:rPr>
            </w:pPr>
            <w:r>
              <w:rPr>
                <w:rFonts w:hint="eastAsia" w:ascii="FangSong_GB2312" w:hAnsi="FangSong_GB2312" w:eastAsia="FangSong_GB2312" w:cs="FangSong_GB2312"/>
                <w:b w:val="0"/>
                <w:bCs w:val="0"/>
                <w:color w:val="auto"/>
                <w:kern w:val="44"/>
                <w:sz w:val="28"/>
                <w:szCs w:val="28"/>
                <w:highlight w:val="none"/>
                <w:lang w:val="zh-CN" w:eastAsia="zh-CN" w:bidi="ar-SA"/>
              </w:rPr>
              <w:t>非必要不得开展树木砍伐迁移修剪工作。严格按照《广州市绿化条例》《广州市城市树木保护管理规定（试行）》</w:t>
            </w:r>
            <w:r>
              <w:rPr>
                <w:rFonts w:hint="eastAsia" w:ascii="FangSong_GB2312" w:hAnsi="FangSong_GB2312" w:eastAsia="FangSong_GB2312" w:cs="FangSong_GB2312"/>
                <w:b w:val="0"/>
                <w:bCs w:val="0"/>
                <w:color w:val="auto"/>
                <w:kern w:val="44"/>
                <w:sz w:val="28"/>
                <w:szCs w:val="28"/>
                <w:highlight w:val="none"/>
                <w:lang w:val="en-US" w:eastAsia="zh-CN" w:bidi="ar-SA"/>
              </w:rPr>
              <w:t>的相关</w:t>
            </w:r>
            <w:r>
              <w:rPr>
                <w:rFonts w:hint="eastAsia" w:ascii="FangSong_GB2312" w:hAnsi="FangSong_GB2312" w:eastAsia="FangSong_GB2312" w:cs="FangSong_GB2312"/>
                <w:b w:val="0"/>
                <w:bCs w:val="0"/>
                <w:color w:val="auto"/>
                <w:kern w:val="44"/>
                <w:sz w:val="28"/>
                <w:szCs w:val="28"/>
                <w:highlight w:val="none"/>
                <w:lang w:val="zh-CN" w:eastAsia="zh-CN" w:bidi="ar-SA"/>
              </w:rPr>
              <w:t>规定</w:t>
            </w:r>
            <w:r>
              <w:rPr>
                <w:rFonts w:hint="eastAsia" w:ascii="FangSong_GB2312" w:hAnsi="FangSong_GB2312" w:eastAsia="FangSong_GB2312" w:cs="FangSong_GB2312"/>
                <w:b w:val="0"/>
                <w:bCs w:val="0"/>
                <w:color w:val="auto"/>
                <w:kern w:val="44"/>
                <w:sz w:val="28"/>
                <w:szCs w:val="28"/>
                <w:highlight w:val="none"/>
                <w:lang w:val="en-US" w:eastAsia="zh-CN" w:bidi="ar-SA"/>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vertAlign w:val="baseline"/>
                <w:lang w:eastAsia="zh-CN"/>
              </w:rPr>
            </w:pPr>
            <w:r>
              <w:rPr>
                <w:rFonts w:hint="eastAsia" w:ascii="仿宋" w:hAnsi="仿宋" w:eastAsia="仿宋" w:cs="仿宋"/>
                <w:b/>
                <w:bCs/>
                <w:color w:val="auto"/>
                <w:sz w:val="28"/>
                <w:szCs w:val="28"/>
                <w:lang w:val="zh-CN"/>
              </w:rPr>
              <w:t>地质灾害危险性评估</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zh-CN" w:eastAsia="zh-CN" w:bidi="ar-SA"/>
              </w:rPr>
              <w:t>项目位于地质灾害易发区的，应进行地质灾害危险性评估，并在设计、建设时落实《地质灾害危险性评估报告》提出的预防治理措施，避免项目建设引发地质灾害或者遭受地质灾害威胁。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jc w:val="center"/>
              <w:textAlignment w:val="auto"/>
              <w:outlineLvl w:val="0"/>
              <w:rPr>
                <w:rFonts w:hint="eastAsia" w:ascii="黑体" w:hAnsi="黑体" w:eastAsia="黑体" w:cs="黑体"/>
                <w:b/>
                <w:bCs/>
                <w:color w:val="auto"/>
                <w:kern w:val="44"/>
                <w:sz w:val="28"/>
                <w:szCs w:val="28"/>
                <w:lang w:val="en-US" w:eastAsia="zh-CN" w:bidi="ar-SA"/>
              </w:rPr>
            </w:pPr>
            <w:r>
              <w:rPr>
                <w:rFonts w:hint="eastAsia" w:ascii="仿宋" w:hAnsi="仿宋" w:eastAsia="仿宋" w:cs="仿宋"/>
                <w:b/>
                <w:bCs/>
                <w:color w:val="auto"/>
                <w:kern w:val="44"/>
                <w:sz w:val="28"/>
                <w:szCs w:val="28"/>
                <w:vertAlign w:val="baseline"/>
                <w:lang w:val="en-US" w:eastAsia="zh-CN" w:bidi="ar-SA"/>
              </w:rPr>
              <w:t>河涌水系</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地块范围涉及河涌及其管理范围，临河建筑物边线应按照要求退让河涌管理范围（水系控制线），不得在该管理范围内布设建、构筑物，不得进行围蔽，涉及河涌管理范围的建设项目应征求水务部门的意见。用地红线涉及水利工程管理范围的，应征询水利行政主管部门的意见。用地红线包括河涌陆域管理范围的，由建设单位统筹实施滨水岸线，完成后无偿移交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黑体" w:hAnsi="黑体" w:eastAsia="黑体" w:cs="黑体"/>
                <w:b/>
                <w:bCs/>
                <w:color w:val="auto"/>
                <w:sz w:val="28"/>
                <w:szCs w:val="28"/>
                <w:lang w:eastAsia="zh-CN"/>
              </w:rPr>
            </w:pPr>
            <w:r>
              <w:rPr>
                <w:rFonts w:hint="eastAsia" w:ascii="仿宋" w:hAnsi="仿宋" w:eastAsia="仿宋" w:cs="仿宋"/>
                <w:b/>
                <w:bCs/>
                <w:color w:val="auto"/>
                <w:sz w:val="28"/>
                <w:szCs w:val="28"/>
              </w:rPr>
              <w:t>轨道交通</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ind w:firstLine="560" w:firstLineChars="200"/>
              <w:jc w:val="left"/>
              <w:textAlignment w:val="auto"/>
              <w:rPr>
                <w:rFonts w:hint="default"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 xml:space="preserve">轨道交通控制保护区或建设控制区范围内的建设应符合轨道交通相关管理要求；规划地块临近轨道交通站点，鼓励建设与轨道交通站点连接地下通道。在建筑报审前，应取得城市轨道交通建设或经营单位的书面意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高压线网</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涉及高压线网的，在建筑报审前，应取得供电部门的书面意见。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人防工程</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ind w:firstLine="560" w:firstLineChars="200"/>
              <w:jc w:val="left"/>
              <w:textAlignment w:val="auto"/>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涉及需要配建人防地下室或易地建设人防工程的，应按照《广东省人民政府办公厅转发省人防办 省发展改革委 省财政厅 省自然资源厅 省住房城乡建设厅关于规范城市新建民用建筑修建防空地下室意见的通知》（粤府办〔2020〕27号）落实相关要求；应按照《广州市规划和自然资源局 广州市住房和城乡建设局关于实行建设工程规划许可与人防工程行政许可并联审批的通知》（</w:t>
            </w:r>
            <w:r>
              <w:rPr>
                <w:rFonts w:hint="eastAsia" w:ascii="仿宋" w:hAnsi="仿宋" w:eastAsia="仿宋" w:cs="仿宋"/>
                <w:b w:val="0"/>
                <w:bCs w:val="0"/>
                <w:i w:val="0"/>
                <w:caps w:val="0"/>
                <w:color w:val="auto"/>
                <w:spacing w:val="0"/>
                <w:kern w:val="44"/>
                <w:sz w:val="28"/>
                <w:szCs w:val="28"/>
                <w:u w:val="none"/>
                <w:shd w:val="clear" w:fill="FFFFFF"/>
              </w:rPr>
              <w:fldChar w:fldCharType="begin"/>
            </w:r>
            <w:r>
              <w:rPr>
                <w:rFonts w:hint="eastAsia" w:ascii="仿宋" w:hAnsi="仿宋" w:eastAsia="仿宋" w:cs="仿宋"/>
                <w:b w:val="0"/>
                <w:bCs w:val="0"/>
                <w:i w:val="0"/>
                <w:caps w:val="0"/>
                <w:color w:val="auto"/>
                <w:spacing w:val="0"/>
                <w:kern w:val="44"/>
                <w:sz w:val="28"/>
                <w:szCs w:val="28"/>
                <w:u w:val="none"/>
                <w:shd w:val="clear" w:fill="FFFFFF"/>
              </w:rPr>
              <w:instrText xml:space="preserve"> HYPERLINK "http://172.30.240.59:8081/official/" \l "/app/document/officeBoxDone//735535/10426245/0//javascript:void(0)" </w:instrText>
            </w:r>
            <w:r>
              <w:rPr>
                <w:rFonts w:hint="eastAsia" w:ascii="仿宋" w:hAnsi="仿宋" w:eastAsia="仿宋" w:cs="仿宋"/>
                <w:b w:val="0"/>
                <w:bCs w:val="0"/>
                <w:i w:val="0"/>
                <w:caps w:val="0"/>
                <w:color w:val="auto"/>
                <w:spacing w:val="0"/>
                <w:kern w:val="44"/>
                <w:sz w:val="28"/>
                <w:szCs w:val="28"/>
                <w:u w:val="none"/>
                <w:shd w:val="clear" w:fill="FFFFFF"/>
              </w:rPr>
              <w:fldChar w:fldCharType="separate"/>
            </w:r>
            <w:r>
              <w:rPr>
                <w:rFonts w:hint="eastAsia" w:ascii="仿宋" w:hAnsi="仿宋" w:eastAsia="仿宋" w:cs="仿宋"/>
                <w:b w:val="0"/>
                <w:bCs w:val="0"/>
                <w:i w:val="0"/>
                <w:caps w:val="0"/>
                <w:color w:val="auto"/>
                <w:spacing w:val="0"/>
                <w:kern w:val="44"/>
                <w:sz w:val="28"/>
                <w:szCs w:val="28"/>
                <w:u w:val="none"/>
                <w:shd w:val="clear" w:fill="FFFFFF"/>
              </w:rPr>
              <w:t>穗规划资源字〔2019〕162号</w:t>
            </w:r>
            <w:r>
              <w:rPr>
                <w:rFonts w:hint="eastAsia" w:ascii="仿宋" w:hAnsi="仿宋" w:eastAsia="仿宋" w:cs="仿宋"/>
                <w:b w:val="0"/>
                <w:bCs w:val="0"/>
                <w:i w:val="0"/>
                <w:caps w:val="0"/>
                <w:color w:val="auto"/>
                <w:spacing w:val="0"/>
                <w:kern w:val="44"/>
                <w:sz w:val="28"/>
                <w:szCs w:val="28"/>
                <w:u w:val="none"/>
                <w:shd w:val="clear" w:fill="FFFFFF"/>
              </w:rPr>
              <w:fldChar w:fldCharType="end"/>
            </w:r>
            <w:r>
              <w:rPr>
                <w:rFonts w:hint="eastAsia" w:ascii="仿宋" w:hAnsi="仿宋" w:eastAsia="仿宋" w:cs="仿宋"/>
                <w:b w:val="0"/>
                <w:bCs w:val="0"/>
                <w:color w:val="auto"/>
                <w:kern w:val="44"/>
                <w:sz w:val="28"/>
                <w:szCs w:val="28"/>
                <w:lang w:val="en-US" w:eastAsia="zh-CN" w:bidi="ar-SA"/>
              </w:rPr>
              <w:t>）办理。如无法并联办理的，应在建筑报审前，应取得人防部门的书面审核意见。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停车配建</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ind w:firstLine="560" w:firstLineChars="200"/>
              <w:jc w:val="left"/>
              <w:textAlignment w:val="auto"/>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机动车出入口结合现状及规划情况合理设置。机动车和非机动车停放场（库）应与主体工程同时设计、同时施工、同时投入使用。可在建筑地面以上非首层位置设置停车库，该部分建筑面积不计容积率。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地下空间</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jc w:val="left"/>
              <w:textAlignment w:val="auto"/>
              <w:rPr>
                <w:rFonts w:hint="eastAsia" w:ascii="仿宋" w:hAnsi="仿宋" w:eastAsia="仿宋" w:cs="仿宋"/>
                <w:b w:val="0"/>
                <w:bCs w:val="0"/>
                <w:color w:val="auto"/>
                <w:kern w:val="44"/>
                <w:sz w:val="28"/>
                <w:szCs w:val="28"/>
                <w:u w:val="single"/>
                <w:lang w:val="en-US" w:eastAsia="zh-CN" w:bidi="ar-SA"/>
              </w:rPr>
            </w:pPr>
            <w:r>
              <w:rPr>
                <w:rFonts w:hint="eastAsia" w:ascii="仿宋" w:hAnsi="仿宋" w:eastAsia="仿宋" w:cs="仿宋"/>
                <w:b w:val="0"/>
                <w:bCs w:val="0"/>
                <w:color w:val="auto"/>
                <w:kern w:val="44"/>
                <w:sz w:val="28"/>
                <w:szCs w:val="28"/>
                <w:u w:val="none"/>
                <w:lang w:val="en-US" w:eastAsia="zh-CN" w:bidi="ar-SA"/>
              </w:rPr>
              <w:t xml:space="preserve">   在满足地下管线敷设要求的前提下，鼓励规划红线宽度15米及以下市政道路两侧地块内的建筑物地下空间互联互通，并与市政道路同步设计、同步施工、同步投入使用。停车配建泊位数可在地下连通的各地块间统筹。地块临近轨道交通站点的，鼓励建设与轨道交通站点连接的地下通道。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充电</w:t>
            </w:r>
            <w:r>
              <w:rPr>
                <w:rFonts w:hint="eastAsia" w:ascii="仿宋" w:hAnsi="仿宋" w:eastAsia="仿宋" w:cs="仿宋"/>
                <w:b/>
                <w:bCs/>
                <w:color w:val="auto"/>
                <w:sz w:val="28"/>
                <w:szCs w:val="28"/>
                <w:lang w:eastAsia="zh-CN"/>
              </w:rPr>
              <w:t>设施</w:t>
            </w:r>
          </w:p>
        </w:tc>
        <w:tc>
          <w:tcPr>
            <w:tcW w:w="8255" w:type="dxa"/>
            <w:vAlign w:val="center"/>
          </w:tcPr>
          <w:p>
            <w:pPr>
              <w:pageBreakBefore w:val="0"/>
              <w:widowControl w:val="0"/>
              <w:kinsoku/>
              <w:wordWrap/>
              <w:overflowPunct/>
              <w:topLinePunct w:val="0"/>
              <w:autoSpaceDE/>
              <w:autoSpaceDN/>
              <w:bidi w:val="0"/>
              <w:snapToGrid/>
              <w:spacing w:line="480" w:lineRule="exact"/>
              <w:ind w:firstLine="560" w:firstLineChars="200"/>
              <w:textAlignment w:val="auto"/>
              <w:rPr>
                <w:rFonts w:hint="eastAsia"/>
                <w:color w:val="auto"/>
                <w:lang w:val="en-US" w:eastAsia="zh-CN"/>
              </w:rPr>
            </w:pPr>
            <w:r>
              <w:rPr>
                <w:rFonts w:hint="eastAsia" w:ascii="仿宋" w:hAnsi="仿宋" w:eastAsia="仿宋" w:cs="仿宋"/>
                <w:b w:val="0"/>
                <w:bCs w:val="0"/>
                <w:color w:val="auto"/>
                <w:kern w:val="44"/>
                <w:sz w:val="28"/>
                <w:szCs w:val="28"/>
                <w:lang w:val="zh-CN" w:eastAsia="zh-CN" w:bidi="ar-SA"/>
              </w:rPr>
              <w:t>新建住宅小区配建停车位必须100%建设充电设施或预留建设安装条件；新建的商业服务业建筑、旅游景区、交通枢纽、公共停车场等场所，按不低于停车位总数30%比例建设快速充电桩。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kern w:val="44"/>
                <w:sz w:val="28"/>
                <w:szCs w:val="28"/>
                <w:lang w:val="zh-CN" w:eastAsia="zh-CN" w:bidi="ar-SA"/>
              </w:rPr>
              <w:t>配电房设置要求</w:t>
            </w:r>
          </w:p>
        </w:tc>
        <w:tc>
          <w:tcPr>
            <w:tcW w:w="8255" w:type="dxa"/>
            <w:vAlign w:val="center"/>
          </w:tcPr>
          <w:p>
            <w:pPr>
              <w:pageBreakBefore w:val="0"/>
              <w:widowControl w:val="0"/>
              <w:numPr>
                <w:ilvl w:val="0"/>
                <w:numId w:val="0"/>
              </w:numPr>
              <w:kinsoku/>
              <w:wordWrap/>
              <w:overflowPunct/>
              <w:topLinePunct w:val="0"/>
              <w:autoSpaceDE/>
              <w:autoSpaceDN/>
              <w:bidi w:val="0"/>
              <w:snapToGrid/>
              <w:spacing w:line="480" w:lineRule="exact"/>
              <w:ind w:firstLine="560" w:firstLineChars="200"/>
              <w:jc w:val="left"/>
              <w:textAlignment w:val="auto"/>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配电房设置按照广州市供电局《关于报送广州市配电房设置要求的函》“公用配电房及供住宅电梯、住宅水泵、住宅梯灯等居住性质用电的专用配电房必须设置在建筑物首层以上；专用配电房应设置在建筑物首层及以上，当条件限制且有地下室多层时，应设置在地下负一层（不含易涝地区），不得设置在仅有地下一层的地下室”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44"/>
                <w:sz w:val="28"/>
                <w:szCs w:val="28"/>
                <w:lang w:val="zh-CN" w:eastAsia="zh-CN" w:bidi="ar-SA"/>
              </w:rPr>
            </w:pPr>
            <w:r>
              <w:rPr>
                <w:rFonts w:hint="eastAsia" w:ascii="仿宋" w:hAnsi="仿宋" w:eastAsia="仿宋" w:cs="仿宋"/>
                <w:b/>
                <w:bCs/>
                <w:color w:val="auto"/>
                <w:kern w:val="44"/>
                <w:sz w:val="28"/>
                <w:szCs w:val="28"/>
                <w:lang w:val="en-US" w:eastAsia="zh-CN" w:bidi="ar-SA"/>
              </w:rPr>
              <w:t>移动通信基础设施</w:t>
            </w:r>
          </w:p>
        </w:tc>
        <w:tc>
          <w:tcPr>
            <w:tcW w:w="8255" w:type="dxa"/>
            <w:vAlign w:val="center"/>
          </w:tcPr>
          <w:p>
            <w:pPr>
              <w:pageBreakBefore w:val="0"/>
              <w:widowControl w:val="0"/>
              <w:numPr>
                <w:ilvl w:val="-1"/>
                <w:numId w:val="0"/>
              </w:numPr>
              <w:kinsoku/>
              <w:wordWrap/>
              <w:overflowPunct/>
              <w:topLinePunct w:val="0"/>
              <w:autoSpaceDE/>
              <w:autoSpaceDN/>
              <w:bidi w:val="0"/>
              <w:adjustRightInd w:val="0"/>
              <w:snapToGrid/>
              <w:spacing w:line="480" w:lineRule="exact"/>
              <w:ind w:firstLine="560" w:firstLineChars="200"/>
              <w:jc w:val="left"/>
              <w:textAlignment w:val="auto"/>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根据《广东省通信设施建设与保护规定》和《广州市公众移动通信5G基站站址布局专项规划（2019-2023年）》，地块内应当预留移动通信设施的建设空间、建设位置、用电容量及其配套资源。移动通信设施（宏基站、微基站及室内覆盖系统）所需的机房、供电线路、通信管线、室外支撑物等配套设施应按《广东省建筑物移动通信基础设施技术规范》（DBJ/T 15-190-2020）的相关规定配置。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海绵城市</w:t>
            </w:r>
          </w:p>
          <w:p>
            <w:pPr>
              <w:pageBreakBefore w:val="0"/>
              <w:widowControl w:val="0"/>
              <w:kinsoku/>
              <w:wordWrap/>
              <w:overflowPunct/>
              <w:topLinePunct w:val="0"/>
              <w:autoSpaceDE/>
              <w:autoSpaceDN/>
              <w:bidi w:val="0"/>
              <w:snapToGrid/>
              <w:spacing w:line="480" w:lineRule="exact"/>
              <w:ind w:firstLine="0" w:firstLineChars="0"/>
              <w:jc w:val="center"/>
              <w:textAlignment w:val="auto"/>
              <w:rPr>
                <w:rFonts w:hint="eastAsia" w:ascii="仿宋" w:hAnsi="仿宋" w:eastAsia="仿宋" w:cs="仿宋"/>
                <w:b/>
                <w:bCs/>
                <w:color w:val="auto"/>
                <w:sz w:val="28"/>
                <w:szCs w:val="28"/>
                <w:vertAlign w:val="baseline"/>
                <w:lang w:eastAsia="zh-CN"/>
              </w:rPr>
            </w:pPr>
          </w:p>
          <w:p>
            <w:pPr>
              <w:pageBreakBefore w:val="0"/>
              <w:widowControl w:val="0"/>
              <w:kinsoku/>
              <w:wordWrap/>
              <w:overflowPunct/>
              <w:topLinePunct w:val="0"/>
              <w:autoSpaceDE/>
              <w:autoSpaceDN/>
              <w:bidi w:val="0"/>
              <w:snapToGrid/>
              <w:spacing w:line="480" w:lineRule="exact"/>
              <w:jc w:val="center"/>
              <w:textAlignment w:val="auto"/>
              <w:rPr>
                <w:rFonts w:hint="eastAsia" w:ascii="仿宋_GB2312" w:hAnsi="仿宋_GB2312" w:eastAsia="仿宋_GB2312" w:cs="仿宋_GB2312"/>
                <w:b/>
                <w:bCs/>
                <w:color w:val="auto"/>
                <w:sz w:val="28"/>
                <w:szCs w:val="28"/>
                <w:vertAlign w:val="baseline"/>
                <w:lang w:eastAsia="zh-CN"/>
              </w:rPr>
            </w:pPr>
          </w:p>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2"/>
                <w:sz w:val="28"/>
                <w:szCs w:val="28"/>
                <w:lang w:val="en-US" w:eastAsia="zh-CN" w:bidi="ar-SA"/>
              </w:rPr>
            </w:pP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lang w:val="zh-CN"/>
              </w:rPr>
            </w:pPr>
            <w:r>
              <w:rPr>
                <w:rFonts w:hint="eastAsia" w:ascii="仿宋" w:hAnsi="仿宋" w:eastAsia="仿宋" w:cs="仿宋"/>
                <w:kern w:val="44"/>
                <w:sz w:val="28"/>
                <w:szCs w:val="28"/>
                <w:lang w:val="zh-CN"/>
              </w:rPr>
              <w:t>建设项目应采用雨污分流系统，按照《广州市排水管理办法实施细则》（穗水规字〔2018〕5号）要求，同步建设雨污管网，阳台排水应接入污水管，并按要求设置化粪池，同时按照《广州市建设项目雨水径流控制办法》的有关规定采取雨水径流控制措施，使建设后的雨水径流量不超过建设前的雨水径流量。</w:t>
            </w:r>
          </w:p>
          <w:p>
            <w:pPr>
              <w:keepNext/>
              <w:keepLines/>
              <w:spacing w:line="480" w:lineRule="exact"/>
              <w:ind w:firstLine="560" w:firstLineChars="200"/>
              <w:jc w:val="left"/>
              <w:outlineLvl w:val="0"/>
              <w:rPr>
                <w:rFonts w:hint="eastAsia" w:ascii="仿宋" w:hAnsi="仿宋" w:eastAsia="仿宋" w:cs="仿宋"/>
                <w:kern w:val="44"/>
                <w:sz w:val="28"/>
                <w:szCs w:val="28"/>
              </w:rPr>
            </w:pPr>
            <w:r>
              <w:rPr>
                <w:rFonts w:hint="eastAsia" w:ascii="仿宋" w:hAnsi="仿宋" w:eastAsia="仿宋" w:cs="仿宋"/>
                <w:kern w:val="44"/>
                <w:sz w:val="28"/>
                <w:szCs w:val="28"/>
              </w:rPr>
              <w:t>M类工业用地应按以下要求落实海绵城市建设要求：年径流总量控制率推荐取值65%-75%；新建建筑宜采用绿色屋顶，绿色屋顶率宜≥60%（鼓励性指标），并宜与绿地、水体的建设相结合建设雨水收集、蓄存和利用设施；建筑物的室外可渗透地面率不低于40%（约束性指标）；新建项目人行道、室外停车场、步行街、自行车道和建设工程的外部庭院应当分别设置渗透性铺装设施，其渗透铺装率不低于70%（约束性指标）；新建建设工程硬化面积达 1 万平方米以上的项目，除城镇公共道路外，每万平方米硬化面积应当配建不小于500立方米的雨水调蓄设施；除上述指标外，具体施工图设计还应满足《广州市建设项目雨水径流控制办法》、《广州市海绵城市规划设计导则》、《广州市海绵城市建设技术指引及标准图集（试行）》、《广州市海绵城市建设技术指标体系（试行）》等规定的要求。</w:t>
            </w:r>
          </w:p>
          <w:p>
            <w:pPr>
              <w:keepNext/>
              <w:keepLines/>
              <w:pageBreakBefore w:val="0"/>
              <w:widowControl/>
              <w:kinsoku/>
              <w:wordWrap/>
              <w:overflowPunct/>
              <w:topLinePunct w:val="0"/>
              <w:autoSpaceDE/>
              <w:autoSpaceDN/>
              <w:bidi w:val="0"/>
              <w:snapToGrid/>
              <w:spacing w:before="0" w:beforeLines="-2147483648" w:after="0" w:afterLines="-2147483648"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kern w:val="44"/>
                <w:sz w:val="28"/>
                <w:szCs w:val="28"/>
                <w:lang w:val="zh-CN"/>
              </w:rPr>
              <w:t>在建设工程施工图审查、 施工许可等环节，海绵城市相关工程措施将作为重点审查内容；工程竣工验收报告中， 应当写明海绵城市相关工程措施的落实情况，提交审批机关备案。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sz w:val="28"/>
                <w:szCs w:val="28"/>
                <w:lang w:val="en-US" w:eastAsia="zh-CN"/>
              </w:rPr>
              <w:t>给排水设施要求</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项目应采取措施保护周边已建的供、排水设施。如需移动或改建供、排水设施，应征求权属单位意见，并向设施养护管理单位申请审核。</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市政交水点水压标准为0.14MPa,项目应按照《用户生活给水系统设计、施工及验收规范》设计、配建储水池和加压设备等供水设施，应满足广州市推行优质饮用水的要求。住宅项目配建的供水设施技术设计方案应征求所在区域供水单位的意见。有关道路建设应预留供水管线位置，配建市政消火栓。</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en-US" w:eastAsia="zh-CN" w:bidi="ar-SA"/>
              </w:rPr>
              <w:t>项目应按照《广州市建设项目节水设施“三同时”管理暂行办法》配套建设节水设施。节水设施应与主体工程同时设计、同时施工、同时投入使用。</w:t>
            </w:r>
          </w:p>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en-US" w:eastAsia="zh-CN" w:bidi="ar-SA"/>
              </w:rPr>
              <w:t>排水设施材质应符合《广州市河长制办公室关于提高新建污水管网管材标准，打好水污染防治攻坚战的通知》、《广州市水务局关于推广使用预制装配式排水检查井及限制使用砖砌筑排水检查井的通知》要求。生活储水池、外露给水管道建议使用不锈钢材质，分户水表建议采用智能水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装配式建筑</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zh-CN" w:eastAsia="zh-CN" w:bidi="ar-SA"/>
              </w:rPr>
              <w:t>推动建筑产业现代化，鼓励开展装配式工程建设，</w:t>
            </w:r>
            <w:r>
              <w:rPr>
                <w:rFonts w:hint="eastAsia" w:ascii="仿宋" w:hAnsi="仿宋" w:eastAsia="仿宋" w:cs="仿宋"/>
                <w:b w:val="0"/>
                <w:bCs w:val="0"/>
                <w:color w:val="auto"/>
                <w:kern w:val="44"/>
                <w:sz w:val="28"/>
                <w:szCs w:val="28"/>
                <w:lang w:val="en-US" w:eastAsia="zh-CN" w:bidi="ar-SA"/>
              </w:rPr>
              <w:t>相关要求按照《广州市南沙区城建领导小组办公室关于印发南沙区2021年建筑节能、绿色建筑和装配式建筑工作要点的通知》</w:t>
            </w:r>
            <w:r>
              <w:rPr>
                <w:rFonts w:hint="eastAsia" w:ascii="仿宋" w:hAnsi="仿宋" w:eastAsia="仿宋" w:cs="仿宋"/>
                <w:b w:val="0"/>
                <w:bCs w:val="0"/>
                <w:color w:val="auto"/>
                <w:kern w:val="44"/>
                <w:sz w:val="28"/>
                <w:szCs w:val="28"/>
                <w:lang w:val="zh-CN" w:eastAsia="zh-CN" w:bidi="ar-SA"/>
              </w:rPr>
              <w:t>等执行。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44"/>
                <w:sz w:val="28"/>
                <w:szCs w:val="28"/>
                <w:lang w:val="en-US" w:eastAsia="zh-CN" w:bidi="ar-SA"/>
              </w:rPr>
            </w:pPr>
            <w:r>
              <w:rPr>
                <w:rFonts w:hint="eastAsia" w:ascii="仿宋" w:hAnsi="仿宋" w:eastAsia="仿宋" w:cs="仿宋"/>
                <w:b/>
                <w:bCs/>
                <w:color w:val="auto"/>
                <w:sz w:val="28"/>
                <w:szCs w:val="28"/>
                <w:lang w:val="zh-CN" w:eastAsia="zh-CN"/>
              </w:rPr>
              <w:t>智能电子报批</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i/>
                <w:iCs/>
                <w:color w:val="auto"/>
                <w:kern w:val="44"/>
                <w:sz w:val="28"/>
                <w:szCs w:val="28"/>
                <w:u w:val="none"/>
                <w:lang w:val="en-US" w:eastAsia="zh-CN" w:bidi="ar-SA"/>
              </w:rPr>
            </w:pPr>
            <w:r>
              <w:rPr>
                <w:rFonts w:hint="eastAsia" w:ascii="仿宋" w:hAnsi="仿宋" w:eastAsia="仿宋" w:cs="仿宋"/>
                <w:b w:val="0"/>
                <w:bCs w:val="0"/>
                <w:color w:val="auto"/>
                <w:kern w:val="44"/>
                <w:sz w:val="28"/>
                <w:szCs w:val="28"/>
                <w:lang w:val="zh-CN" w:eastAsia="zh-CN" w:bidi="ar-SA"/>
              </w:rPr>
              <w:t>根据《关于进一步加快推进我市建筑信息模型（BIM）技术应用的通知》要求，本地块项目在办理建设工程规划许可证时建议组织建立BIM设计模型，并按要求提供BIM设计模型进行审查。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kern w:val="44"/>
                <w:sz w:val="28"/>
                <w:szCs w:val="28"/>
                <w:lang w:val="en-US" w:eastAsia="zh-CN" w:bidi="ar-SA"/>
              </w:rPr>
            </w:pPr>
            <w:r>
              <w:rPr>
                <w:rFonts w:hint="eastAsia" w:ascii="仿宋" w:hAnsi="仿宋" w:eastAsia="仿宋" w:cs="仿宋"/>
                <w:b/>
                <w:bCs/>
                <w:color w:val="auto"/>
                <w:sz w:val="28"/>
                <w:szCs w:val="28"/>
                <w:lang w:eastAsia="zh-CN"/>
              </w:rPr>
              <w:t>档案管理</w:t>
            </w: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en-US" w:eastAsia="zh-CN" w:bidi="ar-SA"/>
              </w:rPr>
            </w:pPr>
            <w:r>
              <w:rPr>
                <w:rFonts w:hint="eastAsia" w:ascii="仿宋" w:hAnsi="仿宋" w:eastAsia="仿宋" w:cs="仿宋"/>
                <w:b w:val="0"/>
                <w:bCs w:val="0"/>
                <w:color w:val="auto"/>
                <w:kern w:val="44"/>
                <w:sz w:val="28"/>
                <w:szCs w:val="28"/>
                <w:lang w:val="zh-CN" w:eastAsia="zh-CN" w:bidi="ar-SA"/>
              </w:rPr>
              <w:t>建设单位应按照《建设工程文件归档规范》（GB/T 50328-2014）和《建设工程档案编制规范》（DBJ 440100/T 153-2012）的要求，在工程招标及与勘察、设计、施工、监理等单位签订协议、合同时，应明确工程档案收集、整理及编制要求，及时汇总建设工程各环节的文件材料，建立、健全建设工程档案；在工程竣工验收后6个月内向市（区）城建档案管理机构报送一套符合要求的工程档案。逾期未报送工程档案的，将依据《中华人民共和国城乡规划法》第六十七条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pageBreakBefore w:val="0"/>
              <w:widowControl w:val="0"/>
              <w:kinsoku/>
              <w:wordWrap/>
              <w:overflowPunct/>
              <w:topLinePunct w:val="0"/>
              <w:autoSpaceDE/>
              <w:autoSpaceDN/>
              <w:bidi w:val="0"/>
              <w:snapToGrid/>
              <w:spacing w:line="480" w:lineRule="exact"/>
              <w:jc w:val="center"/>
              <w:textAlignment w:val="auto"/>
              <w:rPr>
                <w:rFonts w:hint="eastAsia" w:ascii="仿宋" w:hAnsi="仿宋" w:eastAsia="仿宋" w:cs="仿宋"/>
                <w:b/>
                <w:bCs/>
                <w:color w:val="auto"/>
                <w:sz w:val="28"/>
                <w:szCs w:val="28"/>
                <w:lang w:eastAsia="zh-CN"/>
              </w:rPr>
            </w:pPr>
          </w:p>
        </w:tc>
        <w:tc>
          <w:tcPr>
            <w:tcW w:w="8255" w:type="dxa"/>
            <w:vAlign w:val="center"/>
          </w:tcPr>
          <w:p>
            <w:pPr>
              <w:keepNext/>
              <w:keepLines/>
              <w:pageBreakBefore w:val="0"/>
              <w:widowControl w:val="0"/>
              <w:kinsoku/>
              <w:wordWrap/>
              <w:overflowPunct/>
              <w:topLinePunct w:val="0"/>
              <w:autoSpaceDE/>
              <w:autoSpaceDN/>
              <w:bidi w:val="0"/>
              <w:snapToGrid/>
              <w:spacing w:before="0" w:beforeLines="0" w:after="0" w:afterLines="0" w:line="480" w:lineRule="exact"/>
              <w:ind w:firstLine="560" w:firstLineChars="200"/>
              <w:jc w:val="left"/>
              <w:textAlignment w:val="auto"/>
              <w:outlineLvl w:val="0"/>
              <w:rPr>
                <w:rFonts w:hint="eastAsia" w:ascii="仿宋" w:hAnsi="仿宋" w:eastAsia="仿宋" w:cs="仿宋"/>
                <w:b w:val="0"/>
                <w:bCs w:val="0"/>
                <w:color w:val="auto"/>
                <w:kern w:val="44"/>
                <w:sz w:val="28"/>
                <w:szCs w:val="28"/>
                <w:lang w:val="zh-CN" w:eastAsia="zh-CN" w:bidi="ar-SA"/>
              </w:rPr>
            </w:pPr>
            <w:r>
              <w:rPr>
                <w:rFonts w:hint="eastAsia" w:ascii="仿宋" w:hAnsi="仿宋" w:eastAsia="仿宋" w:cs="仿宋"/>
                <w:b w:val="0"/>
                <w:bCs w:val="0"/>
                <w:color w:val="auto"/>
                <w:kern w:val="44"/>
                <w:sz w:val="28"/>
                <w:szCs w:val="28"/>
                <w:lang w:val="zh-CN" w:eastAsia="zh-CN" w:bidi="ar-SA"/>
              </w:rPr>
              <w:t>本告知提示栏的内容系根据行业主管部门（单位）需求，在提供建设用地规划条件时一并告知或提示的事项，相关管理权限和法律义务相应由行业主管部门（单位）承担。</w:t>
            </w: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630C4F"/>
    <w:rsid w:val="12EB6997"/>
    <w:rsid w:val="14D6007C"/>
    <w:rsid w:val="1AB16C91"/>
    <w:rsid w:val="1BC3538D"/>
    <w:rsid w:val="1CB72437"/>
    <w:rsid w:val="24F12F9C"/>
    <w:rsid w:val="2A963F42"/>
    <w:rsid w:val="2B787DAC"/>
    <w:rsid w:val="2C707798"/>
    <w:rsid w:val="32A54325"/>
    <w:rsid w:val="39B349A9"/>
    <w:rsid w:val="41FA37DB"/>
    <w:rsid w:val="4C3C1FF9"/>
    <w:rsid w:val="4DFA4E84"/>
    <w:rsid w:val="52787336"/>
    <w:rsid w:val="5F32465D"/>
    <w:rsid w:val="620102F5"/>
    <w:rsid w:val="62396C29"/>
    <w:rsid w:val="62E8159C"/>
    <w:rsid w:val="66772E89"/>
    <w:rsid w:val="6BCB4748"/>
    <w:rsid w:val="70ED281E"/>
    <w:rsid w:val="79764DDF"/>
    <w:rsid w:val="7B5C32EC"/>
    <w:rsid w:val="7DFE7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2022-01-13T08:46:00Z</dcterms:created>
  <dc:creator>liuliling</dc:creator>
  <cp:lastModifiedBy>Christine</cp:lastModifiedBy>
  <dcterms:modified xsi:type="dcterms:W3CDTF">2022-01-18T07:24:33Z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ACD1CB870BA54B8584D943AEAE486688</vt:lpwstr>
  </property>
</Properties>
</file>